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D-5614/2017 vom 8. April 2020</w:t>
      </w:r>
    </w:p>
    <w:p>
      <w:r>
        <w:t>Bundesverwaltungsgericht, 2020-04-08, DE</w:t>
      </w:r>
    </w:p>
    <w:p>
      <w:r>
        <w:rPr>
          <w:b/>
        </w:rPr>
        <w:t xml:space="preserve">Quelle: </w:t>
      </w:r>
      <w:r>
        <w:t>https://mcp.opencaselaw.ch/entscheid/bvger_D-5614_2017</w:t>
      </w:r>
    </w:p>
    <w:p>
      <w:r>
        <w:t>FR: TAF D-5614/2017 du 8 avril 2020</w:t>
      </w:r>
    </w:p>
    <w:p>
      <w:r>
        <w:t>IT: TAF D-5614/2017 del 8 aprile 2020</w:t>
      </w:r>
    </w:p>
    <w:p>
      <w:pPr>
        <w:pStyle w:val="Heading2"/>
      </w:pPr>
      <w:r>
        <w:t>Regeste</w:t>
      </w:r>
    </w:p>
    <w:p>
      <w:r>
        <w:t>Asyl und Wegweisung</w:t>
      </w:r>
    </w:p>
    <w:p>
      <w:pPr>
        <w:pStyle w:val="Heading2"/>
      </w:pPr>
      <w:r>
        <w:t>Erwägungen</w:t>
      </w:r>
    </w:p>
    <w:p>
      <w:r>
        <w:rPr>
          <w:b/>
        </w:rPr>
        <w:t>E. 1</w:t>
      </w:r>
    </w:p>
    <w:p>
      <w:r>
        <w:t>1.1 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1.3</w:t>
      </w:r>
    </w:p>
    <w:p>
      <w:r>
        <w:t>Für das vorliegende Verfahren gilt das bisherige Recht (vgl. Abs. 1 der Übergangsbestimmungen zur Änderung des AsylG vom 25. September 2015).</w:t>
      </w:r>
    </w:p>
    <w:p>
      <w:r>
        <w:rPr>
          <w:b/>
        </w:rPr>
        <w:t>E. 1.4</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1.5</w:t>
      </w:r>
    </w:p>
    <w:p>
      <w:r>
        <w:t>Gestützt auf Art. 111a Abs. 1 AsylG wurde vorliegend auf einen Schriftenwechsel verzichtet.</w:t>
      </w:r>
    </w:p>
    <w:p>
      <w:r>
        <w:rPr>
          <w:b/>
        </w:rPr>
        <w:t>E. 2</w:t>
      </w:r>
    </w:p>
    <w:p>
      <w:r>
        <w:t>Der Antrag auf Offenlegung sämtlicher nicht öffentlich zugänglicher Quellen des Lagebildes des SEM vom 16. August 2016 zu Sri Lanka wurde in der Zwischenverfügung vom 9. Oktober 2017 behandelt, auf welche an dieser Stelle verwiesen wird.</w:t>
      </w:r>
    </w:p>
    <w:p>
      <w:r>
        <w:rPr>
          <w:b/>
        </w:rPr>
        <w:t>E. 3.1</w:t>
      </w:r>
    </w:p>
    <w:p>
      <w:r>
        <w:t>In der Beschwerde werden weitere formelle Rügen erhoben, welche vorab zu beurteilen sind, da sie gegebenenfalls geeignet sind, eine Kassation der vorinstanzlichen Verfügung zu bewirken (Verletzung des Anspruchs auf gleiche und gerechte Behandlung, auf rechtliches Gehör und der Begründungspflicht sowie auf unvollständige und unrichtige Abklärung des rechtserheblichen Sachverhalts).</w:t>
      </w:r>
    </w:p>
    <w:p>
      <w:r>
        <w:rPr>
          <w:b/>
        </w:rPr>
        <w:t>E. 3.2</w:t>
      </w:r>
    </w:p>
    <w:p>
      <w:r>
        <w:t>Der Beschwerdeführer macht eine Verletzung von Art. 29 Abs. 1 BV geltend. Er beantragt die Feststellung der Nichtigkeit der vorinstanzlichen Verfügung, da der Anspruch auf Kenntnis der Personen, welche am Entscheid beteiligt waren, verletzt sei. Weder das Kürzel «Smb» noch die nicht lesbare Unterschrift sowie die Funktionsbezeichnung «Fachspezialistin Asyl» liessen einen Rückschluss zu, wer für den Entscheid verantwortlich sei. Vorliegend ist die auf der Verfügung als «Smb» vermerkte Person weder aus dem Organigramm des SEM - welches auf dessen allgemein zugänglicher Website (https://www.sem.admin.ch) abgerufen werden kann - noch aus dem Staatskalender bestimmbar. Die über der erwähnten Funktionsbezeichnung stehende Unterschrift ist nicht lesbar. Der oben erwähnte, sich aus Art. 29 Abs. 1 BV ergebende Anspruch auf Bekanntgabe der personellen Zusammensetzung der Behörde wurde somit durch das Vorgehen der Vorinstanz verletzt (vgl. dazu Teilurteil des Bundesverwaltungsgerichts D-1549/2017 vom 2. Mai 2018 E. 8.2). Der formelle Mangel der Verfügung wird allerdings dadurch relativiert, dass dem Beschwerdeführer der Name der an der Verfügung beteiligten Mitarbeiterin des SEM vom Gericht mit Instruktionsverfügung vom 2. Dezember 2019 (vgl. Sachverhalt Bst. H) mitgeteilt wurde, ohne dass in der Folge Einwände gegen die betreffende Person geltend gemacht wurden. Weiter wurde er mit erwähnter Instruktionsverfügung darauf aufmerksam gemacht, dass er bereits im Zusammenhang mit dem Akteneinsichtsgesuch an die Vorinstanz vom 6. September 2017 die Offenlegung des Namens hätte verlangen können, um danach allfällige Ausstandsgründe geltend zu machen.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a.a.O. E. 8.4). Da der Name der an der Verfügung mitwirkenden SEM-Mitarbeiterin dem Beschwerdeführer bereits mitgeteilt wurde, besteht keine Notwendigkeit, den angefochtenen Entscheid als nichtig zu erklären und die Sache an die Vorinstanz zurückzuweisen.</w:t>
      </w:r>
    </w:p>
    <w:p>
      <w:r>
        <w:rPr>
          <w:b/>
        </w:rPr>
        <w:t>E. 3.3</w:t>
      </w:r>
    </w:p>
    <w:p>
      <w:r>
        <w:t>Die Rüge der Verletzung des rechtlichen Gehörs begründet der Beschwerdeführer mit der grossen zeitlichen Distanz zwischen der BzP und der Anhörung (über eineinhalb Jahre). Diese Rüge erweist sich als nicht stichhaltig, da es sich bei der vom Beschwerdeführer angerufenen Empfehlung, die Anhörung möglichst zeitnah zur BzP durchzuführen, um keine justiziable Verfahrenspflicht handelt (vgl. Urteil des BVGer D-6560/2016 vom 29. März 2018 E. 5.2). Bei dem vom Beschwerdeführer zitierten Rechtsgutachten handelt es sich lediglich um eine Empfehlung von Prof. Dr. Walter Kälin an das SEM, aus welcher er keine Ansprüche ableiten kann.</w:t>
      </w:r>
    </w:p>
    <w:p>
      <w:r>
        <w:rPr>
          <w:b/>
        </w:rPr>
        <w:t>E. 3.4</w:t>
      </w:r>
    </w:p>
    <w:p>
      <w:r>
        <w:t>Im Weiteren ist auch eine Verletzung der Begründungspflicht - als Teilgehalt des rechtlichen Gehörs - nicht zu erkennen. Das SEM hat nachvollziehbar und hinreichend differenziert aufgezeigt, von welchen Überlegungen es sich vorliegend leiten liess. Es hat sich auch mit sämtlichen wesentlichen Vorbringen des Beschwerdeführers auseinandergesetzt. Diese Einschätzung wird durch die ausführliche Rechtsmitteleingabe bestätigt. Der blosse Umstand, dass der Beschwerdeführer die Auffassung und Schlussfolgerungen des SEM nicht teilt, ist keine Verletzung der Begründungspflicht, sondern eine materielle Frage (vgl. E. 4. nachstehend).</w:t>
      </w:r>
    </w:p>
    <w:p>
      <w:r>
        <w:rPr>
          <w:b/>
        </w:rPr>
        <w:t>E. 3.5</w:t>
      </w:r>
    </w:p>
    <w:p>
      <w:r>
        <w:t>In der Beschwerdeschrift wird sodann vorgebracht, das SEM habe den Sachverhalt in verschiedener Hinsicht unvollständig und unrichtig abgeklärt.</w:t>
      </w:r>
    </w:p>
    <w:p>
      <w:r>
        <w:rPr>
          <w:b/>
        </w:rPr>
        <w:t>E. 3.5.1</w:t>
      </w:r>
    </w:p>
    <w:p>
      <w:r>
        <w:t>Der Beschwerdeführer rügt, das SEM stütze sich in seiner Argumentation, dass es nicht nachvollziehbar sei, dass er wegen seiner geltend gemachten Unterstützung einer «LTTE-Familie» im Jahr 2010, erst im Jahr 2015 ins Visier der sri-lankischen Behörden geraten sei, auf «rein hypothetische Annahmen» zur Vorgehenseise der sri-lankischen Behörden. Die Glaubhaftigkeitsprüfung des SEM basiere daher auf unrichtigen Sachverhaltsabklärungen. Der Beschwerdeführer vermengt vorliegend die Frage der Feststellung des rechtserheblichen Sachverhalts mit der Frage der rechtlichen Würdigung der Sache, wenn er den besagten Vorwurf gegen das SEM erhebt. Alleine der Umstand, dass das SEM aufgrund der vorliegenden Aktenlage zu einer anderen Würdigung der Gesuchsvorbringen gelangt, als vom Beschwerdeführer geltend gemacht, spricht nicht für eine ungenügende beziehungsweise falsche Sachverhaltsfeststellung.</w:t>
      </w:r>
    </w:p>
    <w:p>
      <w:r>
        <w:rPr>
          <w:b/>
        </w:rPr>
        <w:t>E. 3.5.2</w:t>
      </w:r>
    </w:p>
    <w:p>
      <w:r>
        <w:t>Weiter rügt der Beschwerdeführer, das SEM habe den rechtserheblichen Sachverhalt nicht vollständig abgeklärt, indem es ihn in der Anhörung vom 10. August 2017 nicht zu exilpolitischen Tätigkeiten in der Schweiz befragt habe. Die Behauptung, das SEM hätte den Beschwerdeführer - der ein derartiges Engagement selbst mit keinem Wort erwähnte - explizit nach allfälligen exilpolitischen Betätigungen befragen müssen, entbehrt offensichtlich jeglicher Grundlage, ist es doch Sache der asylsuchenden Person, im Rahmen ihrer Mitwirkungspflicht sämtliche wesentliche Asylvorbringen geltend zu machen.</w:t>
      </w:r>
    </w:p>
    <w:p>
      <w:r>
        <w:rPr>
          <w:b/>
        </w:rPr>
        <w:t>E. 3.5.3</w:t>
      </w:r>
    </w:p>
    <w:p>
      <w:r>
        <w:t>Sodann rügt der Beschwerdeführer, die angefochtene Verfügung stütze sich grundsätzlich auf ein unvollständiges und in verschiedenen rechtserheblichen Bereichen falsches Lagebild zur Situation in Sri Lanka. Diesbezüglich reichte er einen vom Rechtsvertreter recherchierten und verfassten Bericht zur aktuellen Lage in Sri Lanka (Stand: 18. Juli 2017; mit Zusammenstellung von Länderinformationen [Anhang: CD mit Quellen]) ein (vgl. Beilage 9) und führte unter Bezugnahme auf die Beilagen 10 bis 28 weiter aus, das SEM habe den Sachverhalt auch hinsichtlich der Frage der allgemeinen «Verbesserung» der Menschenrechtssituation in diesem Land falsch abgeklärt. Der Beschwerdeführer vermengt abermals die Frage der Feststellung des rechtserheblichen Sachverhalts mit der Frage der rechtlichen Würdigung der Sache, wenn er unter Vorlage der erwähnten Beilagen den besagten Vorwurf gegen das SEM erhebt. Alleine der Umstand, dass das SEM auf der Basis einer breiten Quellenlage einer anderen Einschätzung der Lage in Sri Lanka folgt, als vom Beschwerdeführer gefordert, spricht nicht für eine ungenügende beziehungsweise falsche Sachverhaltsfeststellung. Gleiches gilt, wenn das Staatssekretariat aufgrund der vorliegenden Aktenlage zu einer anderen Würdigung der Gesuchsvorbringen gelangt, als vom Beschwerdeführer geltend gemacht. Die zahlreich zitierten allgemeinen Berichte zu Sri Lanka vermögen an dieser Schlussfolgerung nichts zu ändern.</w:t>
      </w:r>
    </w:p>
    <w:p>
      <w:r>
        <w:rPr>
          <w:b/>
        </w:rPr>
        <w:t>E. 3.5.4</w:t>
      </w:r>
    </w:p>
    <w:p>
      <w:r>
        <w:t>Schliesslich rügt der Beschwerdeführer, das SEM habe den Sachverhalt auch deshalb unvollständig und unrichtig abgeklärt, weil es im angefochtenen Entscheid nicht korrekt thematisiert habe, dass standardmässige behördliche Backgroundchecks bei Rückkehrern nach Sri Lanka regelmässig zu einer asylrelevanten Verfolgung führten, wobei die Checks bereits mit der Papierbeschaffung in der Schweiz respektive dem Ausfüllen der verschiedenen Formulare mit Hilfe der kantonalen und eidgenössischen Behörden und der in der Schweiz zwingend notwendigen Vorsprache auf dem sri-lankischen Konsulat für die Papierausstellung begännen. Diesbezüglich reichte er eine Kopie des für den internen sri-lankischen Behördengebrauch zu verwendenden Formulars zur Beschaffung von Ersatzreisepapieren bei einer Rückschaffung ein (vgl. Beilage 29). Diese Rüge ist unbegründet, da es sich dabei nicht um bestehende Sachverhaltselemente handelt, sondern um rein hypothetische Zukunftsszenarien. Im Übrigen ist hinsichtlich der Vorsprache auf dem Generalkonsulat auf BVGE 2017 VI/6 (E. 4.3.3) zu verweisen.</w:t>
      </w:r>
    </w:p>
    <w:p>
      <w:r>
        <w:rPr>
          <w:b/>
        </w:rPr>
        <w:t>E. 3.5.5</w:t>
      </w:r>
    </w:p>
    <w:p>
      <w:r>
        <w:t>Unter Bezugnahme auf einen in der NZZ am Sonntag vom 27. November 2016 veröffentlichten Bericht (vgl. Beilage 30) führte der Beschwerdeführer sodann aus, dass unmittelbar nach den durch die Schweizer Behörden organisierten Rückschaffungen vom 16. November 2016 sri-lankische Medienberichte mit den Namen und Herkunftsorten der betroffenen Personen erschienen seien. Wegen der Veröffentlichung der Namen der Ausgeschafften, welche vermutungsweise von der Schweizer Vertretung in Colombo preisgegeben worden seien, befänden sich diese in grosser Gefahr. Dieses Beispiel zeige, dass eine Rückschaffung an und für sich unter den gegebenen Zuständen in Sri Lanka eine asylrelevante Verfolgungsgefahr und damit auch vorliegend einen neuen, zwingend zu berücksichtigenden Asylgrund darstelle. Die Vorinstanz habe es zudem unterlassen, die zu erwartende Vorsprache auf dem sri-lankischen Generalkonsulat und die Ereignisse bei den Rückschaffungen vom 16. November 2016 sowie im Jahr 2017 korrekt und vollständig abzuklären. Auch im Jahr 2017 sei es nach Rückschaffungen aus der Schweiz in Sri Lanka zu Verfolgungen gekommen. Die entsprechenden Akten seien durch das Bundesverwaltungsgericht beizuziehen. Schliesslich zeige ein Strafprozess von Ende Juli 2017 am High Court von Vavuniya, dass jegliche Unterstützungstätigkeit für die LTTE, selbst wenn sie mehr als zehn Jahre zurückliege, jederzeit zur Einleitung eines politisch motivierten Strafverfahrens und einer ebensolchen Bestrafung führen könne.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da sie sich mit den wesentlichen Vorbringen des Beschwerdeführers hinreichend auseinandergesetzt hat und eine sachgerechte Anfechtung möglich war. Der rechtserhebliche Sachverhalt wurde demnach von der Vorinstanz richtig und vollständig festgestellt. Es besteht keine Veranlassung, die Akten der in der Beschwerdeschrift aufgeführten Verfahren von anderen Tamilen beizuziehen. Der Antrag ist abzuweisen. Bei dieser Sachlage erübrigt es sich, auf die geäusserte Kritik - unter Hinweis auf das Urteil des High Court von Vavuniya - an Entscheiden der Vorinstanz und des Bundesverwaltungsgerichts weiter einzugehen.</w:t>
      </w:r>
    </w:p>
    <w:p>
      <w:r>
        <w:rPr>
          <w:b/>
        </w:rPr>
        <w:t>E. 3.6</w:t>
      </w:r>
    </w:p>
    <w:p>
      <w:r>
        <w:t>Zusammenfassend ist festzustellen, dass die Vorinstanz, abgesehen von dem in Erwägung 3.2 festgestellten Verfahrensmangel, das Asylverfahren gesetzeskonform durchgeführt hat. Die Rügen, die Vorinstanz habe das rechtliche Gehör und die Begründungspflicht mehrfach verletzt sowie den rechtserheblichen Sachverhalt unvollständig und unrichtig abgeklärt, erweisen sich als unbegründet. Der Antrag, es sei die angefochtene Verfügung aus diesen Gründen aufzuheben und die Sache zur Feststellung des vollständigen und richtigen rechtserheblichen Sachverhalts und zur Neubeurteilung an das SEM zurückzuweisen, ist demzufolge abzuweisen.</w:t>
      </w:r>
    </w:p>
    <w:p>
      <w:r>
        <w:rPr>
          <w:b/>
        </w:rPr>
        <w:t>E. 3.7</w:t>
      </w:r>
    </w:p>
    <w:p>
      <w:r>
        <w:t>Da der Sachverhalt als hinreichend erstellt zu erachten ist, ist der Antrag auf eine erneute Anhörung des Beschwerdeführers (Beweisantrag Ziffer 1, Beschwerdeschrift, S. 37) abzuweisen. Dasselbe gilt für die weiteren Beweisanträge auf Befragung von R.S. als Zeugen zu den LTTE-Aktivitäten des Beschwerdeführers (Beweisantrag Ziffer 3) sowie auf Gewährung einer angemessenen Frist, zur Dokumentierung des LTTE-Hintergrunds des Cousins des Beschwerdeführers (Beweisantrag Ziffer 4), zumal genügend Zeit bestand, um diese im Rahmen der Mitwirkungspflicht, selbst einzureichen. Der Antrag auf Prüfung der eingereichten Haftbefehle auf ihre Echtheit mittels einer Botschaftsabklärung (Beweisantrag Ziffer 2) ist vorliegend ebenfalls abzuweisen, da diese Dokumente nur in Kopie vorliegen.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5.1</w:t>
      </w:r>
    </w:p>
    <w:p>
      <w:r>
        <w:t>Entgegen der Beanstandung durch den Beschwerdeführer (vgl. Beschwerde, S. 43) hat die Vorinstanz die Beweisregel von Art. 7 AsylG vorliegend nicht zu restriktiv gehandhabt. So wird bei eingehender Prüfung der Befragungsprotokolle deutlich, dass die Vorinstanz zu Recht Ungereimtheiten, einen fehlenden Realitätsbezug und eine unzureichende Substanz in seinen Aussagen festgestellt hat. Die Würdigung dieser Unzulänglichkeiten als Erkennungsmerkmale für die Unglaubhaftigkeit der betreffenden Vorbringen im Sinne von Art. 7 Abs. 3 AsylG ist nicht zu beanstanden. Im Wesentlichen kann auf die Ausführungen in der angefochtenen Verfügung verwiesen werden. Sein Vorbringen, er sei 2015 vom CID der Terrorunterstützung bezichtigt worden, weil er 2010 beziehungsweise 2011 seinen Cousin und eine befreundete Familie aus einem sri-lankischen Flüchtlingslager freigekauft habe, erscheint konstruiert. Ausschlaggebend sind für das Gericht, wie für das SEM, die gewichtigen Zweifel an einem sich daraus erst im Jahr 2015 ergebenden behördlichen Verfolgungsinteresse. Zwar führte der Beschwerdeführer aus, sein Cousin und die Familie, welchen er durch seine Geldzahlungen zur Freilassung aus dem Flüchtlingscamp verholfen habe, hätten Verbindungen zu den LTTE. Dem CID wäre indes genügend Zeit geblieben, solche Verbindungen zu überprüfen, weshalb es nicht nachvollziehbar erscheint, dass es deswegen erst 2015 gegen den Beschwerdeführer vorgegangen ist. Die Erklärungen des Beschwerdeführers, dass sein Cousin nochmals festgenommen worden sei und womöglich mit den Behörden zusammenarbeite, blieben unsubstantiiert, ausweichend und mithin unglaubhaft, was auch die Vorinstanz zutreffend erkannt hat. Bezeichnenderweise hat sich der Beschwerdeführer - in Übereinstimmung mit der Vorinstanz festzustellen - auch Ungereimtheiten hinsichtlich der Art und Weise entgegenhalten zu lassen, in welcher er gemäss seinen Angaben vom CID angegangen worden sein will. Im Gegensatz zu seinen ersten Aussagen in der Anhörung, dass er am 14. Februar 2015 durch eine Person telefonisch kontaktiert und aufgefordert worden sei, inskünftig auf «Hilfeleistungen» ([...]) zu verzichten (vgl. act. 11/24, F82), liess er im späteren Verlauf der Anhörung verlauten, er sei von einer Person am Telefon gefragt worden, ob er Terroristen dabei geholfen habe, ins Ausland zu gelangen, und man habe ihn aufgefordert, am 7. März 2015 bei den Behörden zu erscheinen, ansonsten er erschossen würde (vgl. act. 11/24, F113/124). In der Tat ist von einem Menschen, der über aussergewöhnliche und zwangsläufig einprägsame Erlebnisse wie eine von Gewaltandrohung geprägte Nachstellung berichtet, natürlicherweise zu erwarten, dass er das Naheliegende in den Vordergrund stellt. Demnach ist es schlechterdings nicht nachvollziehbar, dass er im freien Bericht der Anhörung diesen Sachverhaltsabschnitt derart anders wiedergibt als bei der direkten Frage dazu. Auch die auf Beschwerdeebene als Beweismittel eingereichten Haftbefehle vom 1. März 2015 und 21. März 2015 vermögen die behördliche Suche nach ihm nicht zu belegen. Bei den eingereichten Haftbefehlen handelt es sich - entgegen der Beschwerde (vgl. daselbst, S. 41) - nicht um einen «abschliessenden Beweis» für die behördliche Verfolgung des Beschwerdeführers. So erscheint es nicht nachvollziehbar, dass er mit Haftbefehl vom 1. März 2015 gesucht worden sein will, gleichzeitig aber vorbringt, er hätte am 7. März 2015 bei den Behörden erscheinen müssen. Der auf den 21. März 2015 datierte Haftbefehl wurde vom Beschwerdeführer im vorinstanzlichen Verfahren mit keinem Wort erwähnt und muss als nachträglicher Versuch einer Sachverhaltsanpassung taxiert werden. Ohnehin kommt den eingereichten Haftbefehlen nur ein geringer Beweiswert zu, da es sich um leicht fälschbare Farbkopien handelt, deren Authentizität sich nicht überprüfen lässt. Schliesslich scheint es in Bestätigung der vorinstanzlichen Ausführungen auch nicht nachvollziehbar, dass das bloss niederschwellige Engagement des Beschwerdeführers zu Gunsten der TNA (Demonstrationsteilnahmen, Plakate aufkleben) mit seiner geltend gemachten behördlichen Suche im Jahr 2015 im Zusammenhang stehen soll. Schliesslich ist es dem Beschwerdeführer auch mit seinen ergänzenden Ausführungen in der Beschwerde (vgl. daselbst, S. 41 f.) nicht gelungen, glaubhaft zu machen, dass ihm die vorgebrachten Verletzungen während seiner Inhaftierung im Jahr 2011 zugefügt worden sein sollen, zumal er sich diese auch in anderer als der geschilderten Art und Weise hätte zuziehen können. Doch selbst wenn er sich während einer dreitägigen Haft im Jahr 2011 verletzt hätte, wäre dies zum heutigen Zeitpunkt irrelevant. Es ist nicht davon auszugehen, dass er deshalb im Jahr 2015 noch Schwierigkeiten erhalten hätte. Damit fehlt es an einem zeitlichen und sachlichen Kausalzusammenhang zwischen der Haft im Jahr 2011 und der Ausreise im Jahr 2015. Nachdem die Vorbringen des Beschwerdeführers in einer Gesamtbetrachtung als unglaubhaft erscheinen, kann auch die geltend gemachte Reflexverfolgung seines Bruders nicht geglaubt werden. Mit seinen Entgegnungen und Erklärungsversuchen in der Beschwerdeschrift gelingt es dem Beschwerdeführer nicht, den wesentlichen Punkten seiner Gesuchsbegründung klarere Konturen zu verleihen oder diese auf andere Weise in einem glaubhafteren Licht erscheinen zu lassen.</w:t>
      </w:r>
    </w:p>
    <w:p>
      <w:r>
        <w:rPr>
          <w:b/>
        </w:rPr>
        <w:t>E. 5.2</w:t>
      </w:r>
    </w:p>
    <w:p>
      <w:r>
        <w:t>Somit ergibt sich, dass die vom Beschwerdeführer für den Zeitraum bis zur Ausreise aus dem Heimatstaat - im Rahmen einer sogenannten Vorverfolgung - geltend gemachten Verfolgungsvorbringen den Anforderungen an die Glaubhaftigkeit nicht genügen, weshalb diesbezüglich dieVorinstanz zu Recht die Flüchtlingseigenschaft des Beschwerdeführers verneint und sein Asylgesuch abgelehnt hat.</w:t>
      </w:r>
    </w:p>
    <w:p>
      <w:r>
        <w:rPr>
          <w:b/>
        </w:rPr>
        <w:t>E. 5.3</w:t>
      </w:r>
    </w:p>
    <w:p>
      <w:r>
        <w:t>Zu prüfen bleibt indes, ob dem Beschwerdeführer bei einer Rückkehr in sein Heimatland wegen seiner Zugehörigkeit zur tamilischen Ethnie oder aus anderen Gründen ernsthafte Nachteile drohen.</w:t>
      </w:r>
    </w:p>
    <w:p>
      <w:r>
        <w:rPr>
          <w:b/>
        </w:rPr>
        <w:t>E. 5.3.1</w:t>
      </w:r>
    </w:p>
    <w:p>
      <w:r>
        <w:t>Der Beschwerdeführer macht geltend, er erfülle zahlreiche der vom Bundesverwaltungsgericht definierten Risikofaktoren.</w:t>
      </w:r>
    </w:p>
    <w:p>
      <w:r>
        <w:rPr>
          <w:b/>
        </w:rPr>
        <w:t>E. 5.3.2</w:t>
      </w:r>
    </w:p>
    <w:p>
      <w:r>
        <w:t>Sein erstmals in der Beschwerde geltend gemachtes exilpolitisches Engagement belegt der Beschwerdeführer mit mehreren Fotografien (Beilage 31). Seinen Angaben zufolge ist er darauf am (...) an Heldentagfeierlichkeiten in C._______ und bei einer (...) anlässlich des Geburtstages eines LTTE-Führers zu sehen. Dieses Foto sei auf einer tamilischen Nachrichtenseite veröffentlicht worden.</w:t>
      </w:r>
    </w:p>
    <w:p>
      <w:r>
        <w:rPr>
          <w:b/>
        </w:rPr>
        <w:t>E. 5.3.3</w:t>
      </w:r>
    </w:p>
    <w:p>
      <w:r>
        <w:t>Aus Sicht des Gerichts kann aufgrund des eingereichten Beweismaterials zwar geschlossen werden, dass der Beschwerdeführer an Veranstaltungen teilgenommen hat. Ob diese Teilnahmen effektiv an den genannten Daten und Orten stattfanden, lässt sich aber anhand der eingereichten Fotos nicht zweifelsfrei eruieren. Unbesehen davon ist jedenfalls nicht ersichtlich, dass der Beschwerdeführer dabei eine in irgendeiner Weise exponierte Rolle gespielt hätte (vgl. dazu statt vieler Urteile des BVGer D-5498/2017 vom 6. März 2018 E. 5.8; D-1042/2018 vom 23. April 2018 E. 7.10).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Somit ist nicht davon auszugehen, dass er aufgrund der vorstehend beschriebenen Demonstrationsteilnahmen seitens des sri-lankischen Regimes terroristischer Aktivitäten oder Verbindungen verdächtigt wird. Demnach kommt das Bundesverwaltungsgericht zum Ergebnis, dass keine exilpolitische Tätigkeiten geltend gemacht werden, welche die Flüchtlingseigenschaft im Sinne eines subjektiven Nachfluchtgrundes zu begründen vermöchten.</w:t>
      </w:r>
    </w:p>
    <w:p>
      <w:r>
        <w:rPr>
          <w:b/>
        </w:rPr>
        <w:t>E. 5.3.4</w:t>
      </w:r>
    </w:p>
    <w:p>
      <w:r>
        <w:t>Des Weiteren ist auch nicht davon auszugehen, dass der Beschwerdeführer aufgrund verschiedener risikobegründender Faktoren bei einer Rückkehr nach Sri Lanka der Gefahr einer Verfolgung im Sinne von Art. 3 AsylG ausgesetzt wäre. Rückkehrende aus der Schweiz, denen nahe Kontakte zu den LTTE unterstellt werden, sind bei der Wiedereinreise einer erhöhten Verfolgungsgefahr ausgesetzt. Gemäss bundesverwaltungsgerichtlicher Rechtsprechung vermag eine geltend gemachte Verbindung zu den LTTE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Ob einer Person aufgrund dessen die Flüchtlingseigenschaft zuzuerkennen ist, ist im Einzelfall zu erörtern, wobei eine asylsuchende Person die für diese Beurteilung relevanten Umstände glaubhaft machen muss (vgl. Referenzurteil E-1866/2015 E. 8.5.3). Dass der Name des Beschwerdeführers in der am Flughafen in Colombo abrufbaren «Stop-List» vermerkt ist, erscheint als unwahrscheinlich, da er nach dem Gesagten zum Zeitpunkt der Ausreise kein politisches Profil aufwies. Hinsichtlich der geltend gemachten LTTE-Aktivitäten seines Cousins vermochten diese, wie in Übereinstimmung mit der Vorinstanz festzustellen ist, kein Verfolgungsinteresse seitens der sri-lankischen Behörden auszulösen. Das allfällige Fehlen ordentlicher Identitätsdokumente bei der Einreise in Sri Lanka sowie eine zwangsweise respektive durch die Internationale Organisation für Migration (IOM) begleitete Rückführung nach Sri Lanka sind schwach risikobegründende Faktoren, welche in der Regel keine relevante Furcht vor ernsthaften Nachteilen im Sinne von Art. 3 AsylG zu begründen vermögen (Referenzurteil E-1866/2015 E. 8.5.4 f.), aber stets in einer Gesamtsicht zu würdigen sind. Eine solche ergibt in Anbetracht der genannten Umstände keine relevante Erhöhung seines Risikoprofils. Daran vermag auch das Bestätigungsschreiben eines Rechtsanwalts (Beilage 44) nichts zu ändern, da es als Gefälligkeitsschreiben mit geringem Beweiswert zu qualifizieren ist.</w:t>
      </w:r>
    </w:p>
    <w:p>
      <w:r>
        <w:rPr>
          <w:b/>
        </w:rPr>
        <w:t>E. 5.3.5</w:t>
      </w:r>
    </w:p>
    <w:p>
      <w:r>
        <w:t>Zwar trifft es zu, dass die Lage in Sri Lanka seit Einreichung des Asylgesuchs durch den Beschwerdeführer verschiedenen Veränderungen unterworfen war,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Vorliegend bestehen keine hinreichenden Anhaltspunkte dafür, dass dem Beschwerdeführer bei einer Rückkehr nach Sri Lanka persönlich ernsthafte Nachteile im Sinne von Art. 3 AsylG drohen könnten.</w:t>
      </w:r>
    </w:p>
    <w:p>
      <w:r>
        <w:rPr>
          <w:b/>
        </w:rPr>
        <w:t>E. 5.4</w:t>
      </w:r>
    </w:p>
    <w:p>
      <w:r>
        <w:t>Zusammenfassend ist es dem Beschwerdeführer nicht gelungen, seine Flüchtlingseigenschaft nachzuweisen oder zumindest glaubhaft zu machen. Es ist somit nicht davon auszugehen, dass er einer Verfolgung im Sinne von Art. 3 AsylG ausgesetzt war oder begründete Furcht hat, künftig einer solchen ausgesetzt zu werden. Es erübrigt sich in diesem Zusammenhang, auf die weiteren Ausführungen in der Beschwerde und den weiteren Eingaben des Beschwerdeführers sowie den Inhalt der Beweismittel detaillierter einzugehen, da sie an der vorliegenden Würdigung des Sachverhalts nichts zu ändern vermögen. Die Vorinstanz hat das Asylgesuch des Beschwerdeführers demnach zu Recht abgelehnt. 6.Gemäss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E-1866/2015 E. 12.2). Nach dem Gesagten ist der Vollzug der Wegweisung sowohl im Sinne der asyl- als auch der völkerrechtlichen Bestimmungen zulässig.</w:t>
      </w:r>
    </w:p>
    <w:p>
      <w:r>
        <w:rPr>
          <w:b/>
        </w:rPr>
        <w:t>E. 8.2</w:t>
      </w:r>
    </w:p>
    <w:p>
      <w:r>
        <w:t>Nach Art. 83 Abs. 4 AIG kann der Vollzug für Ausländerinnen und Ausländer unzumutbar sein, wenn sie im Heimat- oder Herkunftsstaat auf 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stammt seinen Angaben gemäss aus B._______ beziehungsweise D._______ (Jaffna Distrikt, Nordprovinz), lebte aber bis zu seiner Ausreise in E._______ (Vavuniya Distrikt, Nordprovinz). Ein Vollzug in diese Region ist im Lichte der Rechtsprechung grundsätzlich zumutbar. Der Beschwerdeführer verfügt über Schuldbildung mit A-Level-Abschluss und Berufserfahrung mit eigenem (...) (vgl. act. A4/11, S. 4). Mit seinen Eltern und seinen Geschwistern verfügt er im Heimatland zudem über ein soziales Beziehungsnetz und eine Wohnmöglichkeit (vgl. act. A4/11, S. 4 u. 5). Es ist somit davon auszugehen, dass sich der Beschwerdeführer in seiner Heimat beruflich wieder integrieren und auf ein tragfähiges Beziehungsnetz zurückgreifen kann, welches ihn nach einer Rückkehr im Bedarfsfall unterstützen kann. Es sprechen auch keine medizinischen Gründe gegen eine Rückkehr (vgl. act. A4/11, S. 7). Der Vollzug der Wegweisung erweist sich damit sowohl aus individueller Sicht als auch allgemein als zumutbar.</w:t>
      </w:r>
    </w:p>
    <w:p>
      <w:r>
        <w:rPr>
          <w:b/>
        </w:rPr>
        <w:t>E. 8.3</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w:t>
      </w:r>
    </w:p>
    <w:p>
      <w:r>
        <w:rPr>
          <w:b/>
        </w:rPr>
        <w:t>E. 8.4</w:t>
      </w:r>
    </w:p>
    <w:p>
      <w:r>
        <w:t>Die Vorinstanz hat den Vollzug demnach zu Recht als zulässig, zumutbar und möglich erachtet. Damit fällt die Anordnung einer vorläufigen Aufnahme ausser Betracht (Art. 83 Abs. 1-4 AIG). 9.Aus diesen Erwägungen ergibt sich, dass die angefochtene Verfügung Bundesrecht nicht verletzt und auch sonst nicht zu beanstanden ist (Art. 106 AsylG und Art. 49 VwVG). Die Beschwerde ist abzuweisen.</w:t>
      </w:r>
    </w:p>
    <w:p>
      <w:r>
        <w:rPr>
          <w:b/>
        </w:rPr>
        <w:t>E. 10.1</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am 24. Oktober 2017 in gleicher Höhe geleistete Kostenvorschuss ist zur Bezahlung der Verfahrenskosten zu verwenden.</w:t>
      </w:r>
    </w:p>
    <w:p>
      <w:r>
        <w:rPr>
          <w:b/>
        </w:rPr>
        <w:t>E. 10.2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erwähnte Rüge als gering einzustufen ist (weniger als Fr. 100.-), ist von einer Parteientschädigung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