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D-5611/2009 vom 2. November 2010</w:t>
      </w:r>
    </w:p>
    <w:p>
      <w:r>
        <w:t>Bundesverwaltungsgericht, 2010-11-02, DE</w:t>
      </w:r>
    </w:p>
    <w:p>
      <w:r>
        <w:rPr>
          <w:b/>
        </w:rPr>
        <w:t xml:space="preserve">Quelle: </w:t>
      </w:r>
      <w:r>
        <w:t>https://mcp.opencaselaw.ch/entscheid/bvger_D-5611_2009</w:t>
      </w:r>
    </w:p>
    <w:p>
      <w:r>
        <w:t>FR: TAF D-5611/2009 du 2 novembre 2010</w:t>
      </w:r>
    </w:p>
    <w:p>
      <w:r>
        <w:t>IT: TAF D-5611/2009 del 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 unter Vorbehalt der nachfolgenden Erwägungen -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Nach Prüfung der Akten durch das Gericht ist - in Übereinstimmung mit der Vorinstanz - festzustellen, dass die Vorbringen des Beschwerdeführers den Anforderungen an die Glaubhaftigkeit gemäss Art. 7 AsylG nicht standzuhalten vermögen, weshalb diesbezüglich zur Vermeidung von Wiederholungen vorab auf die zutreffenden Erwägungen in der angefochtenen Verfügung zu verweisen ist (vgl. Ziffer I; Bst. B. vorstehend). Der Beschwerdeführer hätte in der Lage sein müssen, die Geschehnisse frei von Widersprüchen und Ungereimtheiten vorzutragen, hätten sich die behaupteten Asylgründe tatsächlich zugetragen. Der Umstand, dass er nicht in der Lage war, den Sachvortrag schlüssig und widerspruchsfrei vorzutragen, lässt darauf schliessen, dass die von ihm geltend gemachte Geschichte sich nicht - wie behauptet - ereignet hat, sondern auf einem konstruierten Sachverhalt beruht. Die Vorbringen des Beschwerdeführers in der Rechtsmittelschrift sind nicht geeignet, die in der angefochtenen Verfügung aufgeführten Widersprüche in seinen Aussagen aufzulösen. So ist insbesondere die Behauptung des Beschwerdeführers, wonach der von der Vorinstanz angeführte Vorhalt bezüglich der Anzahl Männer, die ihn auf der Strasse angegriffen hätten, lediglich auf ein Missverständnis zurückzuführen sei, zumal vier Personen am Angriff auf ihn beteiligt gewesen seien, wobei es sich bei einer dieser Personen um einen Cousin von E._______ gehandelt habe, der nicht handgreiflich geworden sei, schon deshalb unglaubhaft, da er anlässlich der Befragungen zu Protokoll gab, die am Angriff beteiligten Männer nicht zu kennen (Akten BFM A 1/12, S. 7, A 17/7, S. 10).</w:t>
      </w:r>
    </w:p>
    <w:p>
      <w:r>
        <w:rPr>
          <w:b/>
        </w:rPr>
        <w:t>E. 5.2</w:t>
      </w:r>
    </w:p>
    <w:p>
      <w:r>
        <w:t>Zusammenfassend ist festzustellen, dass aufgrund der fehlenden Glaubhaftigkeit der Vorbringen des Beschwerdeführers die von der Vorinstanz in ihrer Verfügung gezogene Schlussfolgerung zu bestätigen ist. Es erübrigt sich, auf weitere Vorbringen in der Beschwerde im Einzelnen einzugehen, weil sie an dieser Würdigung nichts zu ändern vermögen. Der Beschwerdeführer konnte keine Gründe nach Art. 3 AsylG nachweisen oder glaubhaft machen. Die Vorinstanz hat sein Asylgesuch daher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Entscheide des Schweizerischen Bundesverwaltungsgerichts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7.2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Irak ist demnach unter dem Aspekt von Art. 5 AsylG rechtmässig. Sodann ergeben sich weder aus den Aussagen des Beschwerdeführers noch aus den Akten Anhaltspunkte dafür, dass er für den Fall einer Ausschaffung in den Irak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im Nordirak lässt den Wegweisungsvollzug zum heutigen Zeitpunkt nicht als unzulässig erscheinen (vgl. BVGE 2008/4 E. 6.2 ff.).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In Bezug auf die allgemeine Lage in den drei nordirakischen Provinzen kann auf die vom Bundesverwaltungsgericht vorgenom-mene Einschätzung der Lage in einem ergangenen Grundsatzurteil verwiesen werden (vgl. BVGE 2008/5), welche auch zum heutigen Zeitpunkt noch Gültigkeit hat. Das Gericht stellt dort zusammen-fassend fest, dass in den drei kurdischen Provinzen Dohuk, Sulay-maniya und Erbil keine Situation allgemeiner Gewalt herrscht und die dortige politische Lage nicht dermassen angespannt ist, dass eine Rückführung dorthin als generell unzumutbar betrachtet werden müss-te. Zudem ist die Region mit Direktflügen aus Europa und aus den Nachbarstaaten erreichbar. Damit entfällt das Element der unzumut-baren Rückreise via Bagdad und anschliessend auf dem Landweg durch den von Gewalt heimgesuchten Zentralirak. Für allgemein zumutbar erachtet es grundsätzlich die Rückkehr von Personen, die ursprünglich aus der Region stammen oder längere Zeit dort gelebt haben und über ein soziales Netz (Familie, Verwandtschaft oder Bekanntenkreis) oder über Beziehungen zu den herrschenden Parteien verfügen (vgl. a.a.O. E. 7.5 und insbesondere 7.5.8). Zu prüfen bleibt, ob persönliche Gründe des Beschwerdeführers den Wegweisungsvollzug als nicht zumutbar erscheinen lassen.</w:t>
      </w:r>
    </w:p>
    <w:p>
      <w:r>
        <w:rPr>
          <w:b/>
        </w:rPr>
        <w:t>E. 7.3.3</w:t>
      </w:r>
    </w:p>
    <w:p>
      <w:r>
        <w:t>In Übereinstimmung mit der Vorinstanz ist auch das Vorliegen individueller Gründe, welche gegen den Wegweisungsvollzug sprechen würden, zu verneinen. Gemäss eigenen Aussagen des Beschwerdeführers verfügt er in seinem Heimatland neben seiner Mutter und seinem Bruder - von denen er den Aufenthaltsort nicht kennt - nur noch über einen Halbonkel. Wie zuvor festgestellt wurde (vgl. vorstehend E. 5.1), sind die Asylvorbringen des Beschwerdeführers unglaubhaft, weshalb auch seine Aussagen hinsichtlich der familiären Situation im Irak nicht geglaubt werden können. Der Beschwerdeführer hat es somit unterlassen, zu seinen familiären Verhältnissen in seinem Heimatland glaubhafte Angaben zu machen. Bei der Bekanntgabe seiner im Heimatland lebenden Familienangehörigen geht es um Tatsachen, von denen er naturgemäss bessere Kenntnisse als die schweizerischen Asylbehörden hat, die wiederum ohne seine Mitwirkung diese Tatschen kaum oder nur mit einem unverhältnismässig grossen Aufwand erheben können (vgl. EMARK 2004 Nr. 30 E. 6.4.2. S. 212). Zwar sind die für die Beurteilung des Wegweisungsvollzugs massgeblichen Kriterien grundsätzlich von Amtes wegen zu prüfen, jedoch findet die entsprechende behördliche Untersuchungspflicht nach Treu und Glauben ihre Grenzen an der Mitwirkungspflicht der beschwerdeführenden Person (Art. 8 AsylG), welche im Übrigen auch die Substanziierungslast trägt (Art. 7 AsylG). Es kann nicht Sache der Asylbehörden sein, nach allfälligen Wegweisungshindernissen in Herkunftsländern beziehungsweise -orten zu forschen (vgl. dazu auch EMARK 2005 Nr. 1 E. 3.2.2. S. 5 f.). Da es der Beschwerdeführer aufgrund seiner unglaubhaften Aussagen zu vertreten hat, dass seine familiäre Situation im Irak unklar ist, hat er die Folgen der mangel-haften Mitwirkung zu tragen, weshalb anzunehmen ist, es würden einem Vollzug der Wegweisung keine individuellen Unzumutbarkeits-gründe in Form eines unzureichenden Beziehungsnetzes entgegen-stehen. Da demzufolge davon auszugehen ist, dass der Beschwerdeführer im Nordirak über ein tragfähiges Beziehungsnetz verfügt, darf seine Wohnsituation als gesichert bezeichnet werden, ist doch anzunehmen, dass er in der ersten Zeit nach seiner Rückkehr bei einem Familienmitglied Unterschlupf finden kann. Gemäss eigenen Aussagen weist der junge Beschwerdeführer zudem eine mehrjährige Arbeitserfahrung auf, weshalb davon auszugehen ist, er verfüge bei einer Rückkehr in seine Heimat über die Möglichkeit der Sicherung seines Existenzminimums. In der Rechtsmittelschrift macht der Beschwerdeführer geltend, er sei aufgrund des Angriffs auf seine Person noch immer sowohl in physischer als auch psychischer Hinsicht angeschlagen. Diesbezüglich ist festzuhalten, dass der Beschwerdeführer gemäss der eingereichten ärztlichen Patientendokumentation vom 1. April 2009 hinsichtlich sei-ner Rückenbeschwerden, aufgrund derer er vom 23. bis 26. März 2009 hospitalisiert war, längerfristig mit keinen Einschränkungen zu rechnen hat. Zudem wurde damals festgehalten, dass er zu 100 Prozent arbeitsfähig ist. Aus der Patientendokumentation lässt sich überdies nicht entnehmen, dass er zum Zeitpunkt seines Spitalaufenthalts unter psychischen Problemen gelitten hätte. Da es der Beschwerdeführer - trotz Zumutbarkeit und der ihm obliegenden Mitwirkungspflicht (Art. 8 AsylG) - unterlassen hat, einen aktuellen ärztlichen Bericht einzurei-chen, ist davon auszugehen, dass sich dessen Gesundheitszustand seit der erwähnten ärztlichen Patientendokumentation vom 1. April 2009 gebessert beziehungsweise nicht wesentlich verschlechtert hat, weshalb auch nicht anzunehmen ist, er leide aktuell unter nennens-werten psychischen Problemen. Von psychischen Problemen aufgrund des geltend gemachten Angriffs auf seine Person ist auch deshalb nicht auszugehen, zumal die Asylvorbringen des Beschwerdeführers als unglaubhaft zu erachten sind (vgl. vorstehend E. 5.1). Der Vollzug der Wegweisung des Beschwerdeführers erweist sich daher auch als zumutbar.</w:t>
      </w:r>
    </w:p>
    <w:p>
      <w:r>
        <w:rPr>
          <w:b/>
        </w:rPr>
        <w:t>E. 7.4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8</w:t>
      </w:r>
    </w:p>
    <w:p>
      <w:r>
        <w:t>Insgesamt ist der durch die Vorinstanz verfügte Vollzug der Wegweisung zu bestätigen. Die Vorinstanz hat den Vollzug zu Recht als zulässig, zumutbar und möglich erachtet. Nach dem Gesagten fällt eine Anordnung der vorläufigen Aufnahme ausser Betracht (Art. 83 Abs. 1-4 AuG).</w:t>
      </w:r>
    </w:p>
    <w:p>
      <w:r>
        <w:rPr>
          <w:b/>
        </w:rPr>
        <w:t>E. 9</w:t>
      </w:r>
    </w:p>
    <w:p>
      <w:r>
        <w:t>Der Antrag in der Beschwerde, im Sinne einer vorsorglichen Massnahme sei die Kontaktaufnahme mit dem Heimat- oder Herkunftsstaat sowie jede Weitergabe von Daten an denselben bis zum Endentscheid zu unterlassen, wird mit dem vorliegenden Urteil gegenstandslos, zumal vorsorgliche Massnahmen ohnehin lediglich für die Dauer des Beschwerdeverfahrens wirksam wären. Im Übrigen geht aus den dem Gericht vorliegenden Akten nicht hervor, die Vorinstanz habe den Beschwerdeführer betreffende Daten an den Heimatstaat weitergegeben, weshalb auf das Eventualbegehren, es sei bei bereits erfolgter Datenweitergabe dem Beschwerdeführer dazu das rechtliche Gehör im Hinblick auf subjektive Nachfluchtgründe zu gewähren, mangels Rechtsschutzinteresses im Rahmen dieses Verfahrens nicht einzutreten ist.</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6. Oktober 2009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