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D-5601/2022 vom 12. Dezember 2022</w:t>
      </w:r>
    </w:p>
    <w:p>
      <w:r>
        <w:t>Bundesverwaltungsgericht, 2022-12-12, FR</w:t>
      </w:r>
    </w:p>
    <w:p>
      <w:r>
        <w:rPr>
          <w:b/>
        </w:rPr>
        <w:t xml:space="preserve">Quelle: </w:t>
      </w:r>
      <w:r>
        <w:t>https://mcp.opencaselaw.ch/entscheid/bvger_D-5601_2022</w:t>
      </w:r>
    </w:p>
    <w:p>
      <w:r>
        <w:t>FR: TAF D-5601/2022 du 12 décembre 2022</w:t>
      </w:r>
    </w:p>
    <w:p>
      <w:r>
        <w:t>IT: TAF D-5601/2022 del 12 dicembre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 art. 83 let. d ch. 1 LTF), exception non réalisée en l'espèce.</w:t>
      </w:r>
    </w:p>
    <w:p>
      <w:r>
        <w:rPr>
          <w:b/>
        </w:rPr>
        <w:t>E. 1.2</w:t>
      </w:r>
    </w:p>
    <w:p>
      <w:r>
        <w:t>L'intéressé a qualité pour recourir (art. 48 al. 1 PA). Présenté dans la forme (art. 52 al. 1 PA) et le délai (art. 108 al. 3 LAsi) prescrits par la loi, le recours est recevable.</w:t>
      </w:r>
    </w:p>
    <w:p>
      <w:r>
        <w:rPr>
          <w:b/>
        </w:rPr>
        <w:t>E. 1.3</w:t>
      </w:r>
    </w:p>
    <w:p>
      <w:r>
        <w:t>Il est renoncé à un échange d'écritures dans la présente affaire (art. 111a al. 1 LAsi).</w:t>
      </w:r>
    </w:p>
    <w:p>
      <w:r>
        <w:rPr>
          <w:b/>
        </w:rPr>
        <w:t>E. 2</w:t>
      </w:r>
    </w:p>
    <w:p>
      <w:r>
        <w:t>Bien que concluant à l'annulation de la décision du SEM du 28 novembre 2022, le recourant ne conteste pas cette décision, en tant qu'elle refuse de saisir les données personnelles qu'il a indiquées et constate que sa date de naissance (inscrite dans SYMIC) est désormais le (...). Est litigieuse ici la question de la non-entrée en matière sur la demande d'asile.</w:t>
      </w:r>
    </w:p>
    <w:p>
      <w:r>
        <w:rPr>
          <w:b/>
        </w:rPr>
        <w:t>E. 3</w:t>
      </w:r>
    </w:p>
    <w:p>
      <w:r>
        <w:t>Il convient d'examiner en premier lieu le grief formel soulevé par le recourant, celui-là étant susceptible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3.1</w:t>
      </w:r>
    </w:p>
    <w:p>
      <w:r>
        <w:t>Le recourant reproche au SEM d'avoir instruit de manière incomplète la question de sa minorité.</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w:t>
      </w:r>
    </w:p>
    <w:p>
      <w:r>
        <w:rPr>
          <w:b/>
        </w:rPr>
        <w:t>E. 3.3</w:t>
      </w:r>
    </w:p>
    <w:p>
      <w:r>
        <w:t>En l'espèce, le recourant remet en cause l'appréciation que le SEM a faite de ses déclarations et de la copie de sa « taskira », au terme de laquelle il a considéré sa minorité comme n'étant pas vraisemblable. Dans ces conditions, les arguments invoqués à la base du grief formel se confondent avec ceux invoqués sur le fond. Ils seront donc examinés plus loin.</w:t>
      </w:r>
    </w:p>
    <w:p>
      <w:r>
        <w:rPr>
          <w:b/>
        </w:rPr>
        <w:t>E. 4.1</w:t>
      </w:r>
    </w:p>
    <w:p>
      <w:r>
        <w:t>Dans la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4.5</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w:t>
      </w:r>
    </w:p>
    <w:p>
      <w:r>
        <w:rPr>
          <w:b/>
        </w:rPr>
        <w:t>E. 4.6</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4.7</w:t>
      </w:r>
    </w:p>
    <w:p>
      <w:r>
        <w:t>En vertu de l'art. 8 par. 4 du règlement Dublin III,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4.8</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5.1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 médicales visant à déterminer son âge (sur ce dernier point, art. 17 al. 3bis LAsi ; cf. Jurisprudence et informations de la Commission suisse de recours en matière d'asile [JICRA] 2004/30 consid. 6, jurisprudence reprise notamment par l'arrêt du Tribunal E-1928/2014 précité et, très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consid. 6.2 et les réf. citées).</w:t>
      </w:r>
    </w:p>
    <w:p>
      <w:r>
        <w:rPr>
          <w:b/>
        </w:rPr>
        <w:t>E. 5.2</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5.3</w:t>
      </w:r>
    </w:p>
    <w:p>
      <w:r>
        <w:t>En l'espèce, le Tribunal retient, à l'instar du SEM, que le recourant n'a pas déposé de document d'identité susceptible, à lui seul, de prouver sa minorité (art. 1a let. c OA 1). A cet égard, la copie de la « tazkira » fournie par l'intéressé, qui indique que ce dernier aurait été âgé de 3 ans en 1377, c'est-à-dire en 2008-2009 selon le calendrier grégorien (cf. le procès-verbal de l'audition du 5 août 2022, ch. 4.03), ne revêt qu'une faible force probante et ne suffit pas, à elle-seule, à prouver la minorité alléguée (cf. arrêt du Tribunal F-3518/2022 du 24 août 2022 consid. 3.3 et les réf. citées). Cette copie ne constitue ainsi qu'un simple indice. Il est donc nécessaire de déterminer s'il existe d'autres éléments au dossier parlant en faveur de la minorité alléguée du recourant.</w:t>
      </w:r>
    </w:p>
    <w:p>
      <w:r>
        <w:rPr>
          <w:b/>
        </w:rPr>
        <w:t>E. 5.4</w:t>
      </w:r>
    </w:p>
    <w:p>
      <w:r>
        <w:t>L'analyse médico-légale du 26 août 2022 (cf. let. D.b supra)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 2005. Elle aboutit à la conclusion, en se basant sur l'estimation de l'âge dentaire, que la probabilité que le recourant ait atteint et dépassé sa 18ème année est à plus de 90,1% selon Mincer et coll. (1993) et à plus de 96,3% selon Gunst et Mesotten (2003). En partant d'un âge moyen de 20,2 ans pour la dent n° 18 selon MINCER et coll. et en tenant compte de la marge d'erreur possible de +/- 2,09 ans, on obtient un âge minimum de 18,11 ans, respectivement un âge maximum de 26,4 ans pour la dent n° 38 selon Kahl et Schwarze.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selon Kellinghaus et al. (2010), elle démontre un âge osseux correspondant à un stade 3b ; l'âge moyen d'un homme présentant ce stade est selon Wittschieber et al. (2014) de 21,7 ans, avec une déviation standard de 3,7 ans ; l'âge minimum pour ce stade est de 17,6 ans ; selon les deux méthodes d'estimation d'âge osseux appliquées, l'âge minimum de 17,6 ans a été retenu.</w:t>
      </w:r>
    </w:p>
    <w:p>
      <w:r>
        <w:rPr>
          <w:b/>
        </w:rPr>
        <w:t>E. 5.5</w:t>
      </w:r>
    </w:p>
    <w:p>
      <w:r>
        <w:t>Dans ces conditions, comme le SEM l'a relevé dans sa décision dont est recours, les conclusions du rapport d'expertise médico-légale constituent un indice fort de la majorité du recourant (cf. ATAF 2018 VI/3 consid. 4.2.2 ; cf. arrêt du Tribunal E-4873/2022 du 7 novembre 2022, spéc. consid. 5.5.2 et 5.5.3). La date de naissance alléguée, qui supposait qu'il soit âgé de (...) ans et (...) mois au moment de dite expertise, peut dès lors être exclue.</w:t>
      </w:r>
    </w:p>
    <w:p>
      <w:r>
        <w:rPr>
          <w:b/>
        </w:rPr>
        <w:t>E. 5.6</w:t>
      </w:r>
    </w:p>
    <w:p>
      <w:r>
        <w:t>D'autres indices plaident également en défaveur de la minorité alléguée. En effet, le recourant a déclaré avoir 17 ans au moment d'arrêter sa scolarité en 10ème année, être parti d'Afghanistan environ six à sept mois plus tard pour la Suisse et avoir voyagé durant environ trois mois et demi pour arriver en Suisse (cf. le procès-verbal de l'audition du 5 août 2022, ch. 1.17.04 ; cf. également le ch. 2.02 de cette audition, p. 5, lors de laquelle il a déclaré avoir habité à Kaboul jusqu'à l'âge de 17 ans). Entendu à ce propos (cf. ibidem, ch. 7.01), il n'a pas donné d'explication convaincante, relevant qu'il n'était pas loin de ses 17 ans lorsqu'il avait arrêté l'école. En outre, si le recourant avait 9 ou 10 ans lorsqu'il était en 5ème année scolaire (cf. ibidem, ch. 2.02), il aurait eu quatorze ou quinze ans lorsqu'il était en 10ème année. Par ailleurs, si l'on en croit sa « taskira », établie le (...) 2008 et mentionnant un âge de trois ans à ce moment-là, le recourant serait donc né en [mois] 2005 au plus tôt et non en [mois] de la même année. De surcroît, constitue un indice supplémentaire, certes faible dans la mesure où les circonstances de l'enregistrement de l'identité en Italie n'ont pas été investiguées plus avant, de la majorité du recourant le fait que celui-ci ne se soit pas présenté sous son véritable nom, contrairement à ce qu'il a déclaré (cf. ibidem, ch. 5.02), ayant été enregistré sous celui de B._______. Il n'apparaît pas non plus vraisemblable que le recourant, qui dit connaître sa date de naissance complète (jour, mois, année) n'ait pu indiquer que son année de naissance (1385, respectivement 2005 dans le calendrier grégorien) aux autorités italiennes et que celles-ci l'aient traduite faussement, ajoutant par ailleurs un jour et un mois de naissance erronés.</w:t>
      </w:r>
    </w:p>
    <w:p>
      <w:r>
        <w:rPr>
          <w:b/>
        </w:rPr>
        <w:t>E. 5.7</w:t>
      </w:r>
    </w:p>
    <w:p>
      <w:r>
        <w:t>Il ressort des considérations qui précèdent que les éléments plaidant en défaveur de la date de naissance et, partant, de la minorité alléguée par le recourant l'emportent clairement sur les seules affirmations de ce dernier, compte tenu du caractère probant très important des analyses susmentionnées.</w:t>
      </w:r>
    </w:p>
    <w:p>
      <w:r>
        <w:rPr>
          <w:b/>
        </w:rPr>
        <w:t>E. 5.8</w:t>
      </w:r>
    </w:p>
    <w:p>
      <w:r>
        <w:t>Il s'ensuit que le SEM était fondé de considérer que l'intéressé était majeur au moment où il a statué. Celui-ci n'ayant pas établi sa minorité et sa majorité étant hautement vraisemblable, il ne peut se prévaloir des dispositions de fond ou de procédure particulières édictées en faveur des requérants d'asile mineurs (non accompagnés), avant tout des art. 8 par. 4 du règlement Dublin III ainsi que des art. 3 et 8 de la Convention du 20 novembre 1989 relative aux droits de l'enfant (CDE ; RS 0.107).</w:t>
      </w:r>
    </w:p>
    <w:p>
      <w:r>
        <w:rPr>
          <w:b/>
        </w:rPr>
        <w:t>E. 6.1</w:t>
      </w:r>
    </w:p>
    <w:p>
      <w:r>
        <w:t>Cela étant, les investigations entreprises par le SEM ont révélé, après consultation de l'unité centrale du système européen «Eurodac», que le recourant avait franchi irrégulièrement la frontière du territoire des Etats Dublin en ltalie le 3 juin 2022.</w:t>
      </w:r>
    </w:p>
    <w:p>
      <w:r>
        <w:rPr>
          <w:b/>
        </w:rPr>
        <w:t>E. 6.2</w:t>
      </w:r>
    </w:p>
    <w:p>
      <w:r>
        <w:t>Le 26 août 2022, le SEM a, dès lors, soumis aux autorités italiennes compétentes, dans le délai fixé à l'art. 21 par. 1 du règlement Dublin III, une requête aux fins de prise en charge, fondée sur l'art. 13 par. 1 du règlement Dublin III. N'ayant pas répondu à cette requête dans les délais prévus par le règlement Dublin III (art. 22 par. 1 et 6), l'Italie est réputée l'avoir acceptée et, partant, avoir reconnu sa compétence pour traiter la demande d'asile de l'intéressé (art. 22 par. 7 du règlement Dublin III).</w:t>
      </w:r>
    </w:p>
    <w:p>
      <w:r>
        <w:rPr>
          <w:b/>
        </w:rPr>
        <w:t>E. 6.3</w:t>
      </w:r>
    </w:p>
    <w:p>
      <w:r>
        <w:t>Par ailleurs et à juste titre, le recourant, qui est considéré comme majeur, ne se prévaut plus, dans son recours, de la présence de son oncle paternel séjournant en Suisse pour fonder la responsabilité de ce pays pour le traitement de sa demande d'asile. En effet, comme relevé à juste titre par le SEM (cf. sa décision, consid. II, p. 6, par. 1), la présence en Suisse de cet oncle est sans incidence, celui-ci n'étant pas un membre de la famille au sens des art. 9 à 11 en relation avec l'art. 2 let. g du règlement Dublin III.</w:t>
      </w:r>
    </w:p>
    <w:p>
      <w:r>
        <w:rPr>
          <w:b/>
        </w:rPr>
        <w:t>E. 6.4</w:t>
      </w:r>
    </w:p>
    <w:p>
      <w:r>
        <w:t>En conséquence, la responsabilité de l'Italie pour le traitement de la demande d'asile du recourant est acquise, au regard des critères de détermination de l'Etat membre responsable (art. 7 ss du règlement Dublin III).</w:t>
      </w:r>
    </w:p>
    <w:p>
      <w:r>
        <w:rPr>
          <w:b/>
        </w:rPr>
        <w:t>E. 6.5</w:t>
      </w:r>
    </w:p>
    <w:p>
      <w:r>
        <w:t>Au vu de l'art. 3 par. 2 du règlement Dublin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CharteUE.</w:t>
      </w:r>
    </w:p>
    <w:p>
      <w:r>
        <w:rPr>
          <w:b/>
        </w:rPr>
        <w:t>E. 6.6</w:t>
      </w:r>
    </w:p>
    <w:p>
      <w:r>
        <w:t>L'Italie est liée à ladite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no 2013/32/UE du Parlement européen et du Conseil du 26 juin 2013 relative à des procédures communes pour l'octroi et le retrait de la protection internationale (ci-après : directive Procédure) comme de la directive no 2013/33/UE du Parlement européen et du Conseil du 26 juin 2013 établissant des normes pour l'accueil des personnes demandant la protection internationale (ci-après : directive Accueil).</w:t>
      </w:r>
    </w:p>
    <w:p>
      <w:r>
        <w:rPr>
          <w:b/>
        </w:rPr>
        <w:t>E. 6.7</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dans un tel cas, l'Etat requérant doit renoncer au transfert (cf. ATAF 2011/35 consid. 4.11 ; 2010/45 consid. 7.4.2).</w:t>
      </w:r>
    </w:p>
    <w:p>
      <w:r>
        <w:rPr>
          <w:b/>
        </w:rPr>
        <w:t>E. 6.8</w:t>
      </w:r>
    </w:p>
    <w:p>
      <w:r>
        <w:t>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de référence du Tribunal D-4235/2021 du 19 avril 2022 consid. 10.2 ; F-6330/2020 du 18 octobre 2021 consid. 9).</w:t>
      </w:r>
    </w:p>
    <w:p>
      <w:r>
        <w:rPr>
          <w:b/>
        </w:rPr>
        <w:t>E. 6.9</w:t>
      </w:r>
    </w:p>
    <w:p>
      <w:r>
        <w:t>Il convient en outre de relever que l'entrée en vigueur du décret-loino 130/2020 le 20 décembre 2020 a contribué à l'amélioration des conditions d'existence des requérants d'asile en Italie (cf. arrêts de référence du Tribunal précités D-4235/2021 consid. 10.4.3 ; F-6330/2020 consid. 10.5 s.).</w:t>
      </w:r>
    </w:p>
    <w:p>
      <w:r>
        <w:rPr>
          <w:b/>
        </w:rPr>
        <w:t>E. 6.10</w:t>
      </w:r>
    </w:p>
    <w:p>
      <w:r>
        <w:t>Dans ces conditions, et faute d'indice sérieux et convaincant apte à démontrer que les hypothèses strictes de l'art. 3 par. 2 du règlement Dublin III sont réalisées en l'espèce, l'application de cette disposition ne se justifie pas dans le cas particulier.</w:t>
      </w:r>
    </w:p>
    <w:p>
      <w:r>
        <w:rPr>
          <w:b/>
        </w:rPr>
        <w:t>E. 7.1</w:t>
      </w:r>
    </w:p>
    <w:p>
      <w:r>
        <w:t>Pour s'opposer à son transfert vers l'Italie, l'intéressé fait valoir être une personne vulnérable en raison de sa minorité, de son parcours migratoire l'ayant durement atteint psychologiquement et de l'absence de réseau social et familial dans ce pays. Il invoque une violation de l'art. 17 par. 1 du règlement Dublin III en lien, d'une part, avec les art. 3 CEDH et 3 CCT, d'autre part, avec l'art. 29a al. 3 OA 1.</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7.3</w:t>
      </w:r>
    </w:p>
    <w:p>
      <w:r>
        <w:t>En l'espèce, le recourant ne saurait arguer de sa prétendue minorité pour s'opposer à son transfert, ni du reste de son état de santé déficient. En effet, le Tribunal a retenu que le recourant était majeur et celui-ci, outre une gale traitée, n'a pas fait valoir de problèmes de santé psychiques ou somatiques décisifs. Ainsi, le recourant, un jeune homme en bonne santé, ne saurait valablement soutenir être une personne vulnérable.</w:t>
      </w:r>
    </w:p>
    <w:p>
      <w:r>
        <w:rPr>
          <w:b/>
        </w:rPr>
        <w:t>E. 7.4</w:t>
      </w:r>
    </w:p>
    <w:p>
      <w:r>
        <w:t>En outre, il n'a pas allégué, ni a fortiori démontré que sa demande de protection en Italie ne serait pas traitée conformément aux dispositions légales applicables dans ce pays et à la directive Procédure. Dans son cas, rien ne permet de considérer que les autorités italiennes refuseraient de mener à terme sa procédure d'asile, lorsqu'il la déposera. Les problèmes soulevés dans le recours concernant la situation générale en Italie en lien avec l'hébergement des requérants (cf. le recours, p. 18 s.) ne sauraient infléchir ce raisonnement. En outre, le recourant n'a fourni aucun élément susceptible de démontrer que l'Italie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7.5</w:t>
      </w:r>
    </w:p>
    <w:p>
      <w:r>
        <w:t>Par conséquent, le transfert de l'intéressé vers l'Italie n'est pas contraire aux obligations découlant de dispositions conventionnelles auxquelles la Suisse est liée.</w:t>
      </w:r>
    </w:p>
    <w:p>
      <w:r>
        <w:rPr>
          <w:b/>
        </w:rPr>
        <w:t>E. 7.6</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7.7</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le SEM n'est pas entré en matière sur la demande d'asile de l'intéressé, en application de l'art. 31a al. 1 let. b LAsi, et a prononcé son transfert de Suisse vers l'Italie, en application de l'art. 44 LAsi. Par conséquent, le recours doit être rejeté.</w:t>
      </w:r>
    </w:p>
    <w:p>
      <w:r>
        <w:rPr>
          <w:b/>
        </w:rPr>
        <w:t>E. 9.1</w:t>
      </w:r>
    </w:p>
    <w:p>
      <w:r>
        <w:t>Dans la mesure où il est immédiatement statué sur le fond, les demandes tendant à l'octroi de l'effet suspensif et à la dispense du versement d'une avance de frais sont sans objet, les mesures superprovisionnelles ordonnées le 6 décembre 2022 étant désormais caduques.</w:t>
      </w:r>
    </w:p>
    <w:p>
      <w:r>
        <w:rPr>
          <w:b/>
        </w:rPr>
        <w:t>E. 9.2</w:t>
      </w:r>
    </w:p>
    <w:p>
      <w:r>
        <w:t>La demande d'assistance judiciaire partielle présentée simultanément au recours est admise, les conditions d'application de l'art. 65 al. 1 PA étant réunies.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