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D-5601/2006 vom 18. Juni 2007</w:t>
      </w:r>
    </w:p>
    <w:p>
      <w:r>
        <w:t>Bundesverwaltungsgericht, 2007-06-18, DE</w:t>
      </w:r>
    </w:p>
    <w:p>
      <w:r>
        <w:rPr>
          <w:b/>
        </w:rPr>
        <w:t xml:space="preserve">Quelle: </w:t>
      </w:r>
      <w:r>
        <w:t>https://mcp.opencaselaw.ch/entscheid/bvger_D-5601_2006</w:t>
      </w:r>
    </w:p>
    <w:p>
      <w:r>
        <w:t>FR: TAF D-5601/2006 du 18 juin 2007</w:t>
      </w:r>
    </w:p>
    <w:p>
      <w:r>
        <w:t>IT: TAF D-5601/2006 del 18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die Vorinstanz in der angefochtenen Verfügung zu Recht feststellte, war der Beschwerdeführer im Verlauf der Befragung im Transitzentrum Altstätten nicht in der Lage, einen abchasischen Text zu lesen und zu verstehen (A1/13 S. 6 und 9 ff.). Da er indessen angab, abchasisch zu sprechen (A1/13 S. 2 und A10/29 S. 3) und erwähnte, in seiner Familie sei abchasisch gesprochen worden (A10/29 S. 3), er habe bis zur Ausreise in _______ bei _______ gelebt (A1/13 S. 1) sowie bis zum Kriegsausbruch im Jahr 1992 die Schule besucht (A10/29 S. 10), kann nicht nachvollzogen werden, warum er einen abchasischen Text als solchen nicht erkennen konnte, sondern angab, es handle sich um einen tschetschenischen Text, den er nicht verstehe (A1/13 S. 6). Aus diesen Angaben des Beschwerdeführers ist unschwer zu erkennen, dass er der abchasischen Sprache nicht mächtig ist, was sich mit seinen Angaben nicht vereinbaren lässt. Die Vorinstanz hielt zu Recht fest, dass seinen Vorbringen unter diesen Umständen jede Grundlage entzogen sei. Infolgedessen kann dem Beschwerdeführer nicht geglaubt werden, dass er aus Abchasien stammt und den grössten Teil seines bisherigen Lebens dort verbracht hat.</w:t>
      </w:r>
    </w:p>
    <w:p>
      <w:r>
        <w:rPr>
          <w:b/>
        </w:rPr>
        <w:t>E. 4.2</w:t>
      </w:r>
    </w:p>
    <w:p>
      <w:r>
        <w:t>Darüber hinaus ist - wie die Vorinstanz ebenfalls zutreffend darlegte - die persönliche Glaubwürdigkeit des Beschwerdeführers stark erschüttert, da er in Europa (in Österreich und an der italienisch-schweizerischen Grenze) nachgewiesenermassen unter zwei verschiedenen - und von den im schweizerischen Asylverfahren angegebenen Personalien abweichenden - Identitäten aufgetreten ist, wie die Fingerabdruckvergleiche gezeigt haben, was sich mit seinen Aussagen, er sei ausser in Russland noch nie im Ausland gewesen (Akte A1/13 S. 7), nicht vereinbaren lässt. Diesbezüglich wird auf die Zwischenverfügung der ARK vom 3. April 2006 verwiesen.</w:t>
      </w:r>
    </w:p>
    <w:p>
      <w:r>
        <w:rPr>
          <w:b/>
        </w:rPr>
        <w:t>E. 4.3</w:t>
      </w:r>
    </w:p>
    <w:p>
      <w:r>
        <w:t>Infolge der unglaubhaften Angaben des Beschwerdeführers und in Bestätigung der zutreffenden vorinstanzlichen Erwägungen, auf die verwiesen wird (vgl. Art. 109 Abs. 3 BGG i.V.m. Art. 6 AsylG und Art. 4 VwVG), steht für das Bundesverwaltungsgericht fest, dass der Beschwerdeführer nicht unter den von ihm angegebenen Voraussetzungen in der von ihm vorgebrachten Weise verfolgt wurde. Aus diesen Gründen kann ihm auch nicht geglaubt werden, dass er im Fall einer Rückkehr in sein Heimatland einer asylerheblichen Verfolgung ausgesetzt wäre.</w:t>
      </w:r>
    </w:p>
    <w:p>
      <w:r>
        <w:rPr>
          <w:b/>
        </w:rPr>
        <w:t>E. 4.4</w:t>
      </w:r>
    </w:p>
    <w:p>
      <w:r>
        <w:t>Aufgrund der vorstehenden Erwägungen erübrigt es sich, auf die weiteren Ausführungen in der Beschwerde im Einzelnen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5.2</w:t>
      </w:r>
    </w:p>
    <w:p>
      <w:r>
        <w:t>Der Beschwerdeführer verfügt weder über eine fremdenpolizeiliche Aufenthaltsbewilligung noch einen Anspruch auf Erteilung einer solchen. Die Wegweisung wurde demnach zu Recht angeordnet (vgl. Art. 44 Abs. 1 AsylG; Entscheidungen und Mitteilungen der Schweizerischen Asylrekurskommission [EMARK] 2001 Nr. 21).</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nicht als unzulässig erscheinen. Zudem sprechen auch die vom Beschwerdeführer im Beschwerdeverfahren vorgebrachten gesundheitlichen Probleme (Niereprobleme) nicht gegen die Zulässigkeit des Wegweisungsvollzugs, zumal er trotz Aufforderung durch das Bundesverwaltungsgericht keinen Arztbericht einreichte, der medizinische Probleme hätte bestätigen können, und er gemäss der Auskunft des Dienstchefs _______ vom 30. Mai 2007 seit dem 1. Mai 2007 weder Medikamente noch ärztliche Betreuung benötigt. Nach dem Gesagten ist der Vollzug der Wegweisung sowohl im Sinne der asyl- als auch der völkerrechtlichen Bestimmungen zulässig.</w:t>
      </w:r>
    </w:p>
    <w:p>
      <w:r>
        <w:rPr>
          <w:b/>
        </w:rPr>
        <w:t>E. 5.4</w:t>
      </w:r>
    </w:p>
    <w:p>
      <w:r>
        <w:t>Gemäss Art. 14a Abs. 6 ANAG findet der Absatz 4 (Unzumutbarkeit des Wegweisungsvollzuges) dieser Bestimmung keine Anwendung, wenn der weg- oder ausgewiesene Ausländer die öffentliche Sicherheit und Ordnung verletzt hat oder in schwerwiegender Weise gefährdet. Bei der Prüfung dieser Frage hat die nachfolgend zitierte, durch die ARK entwickelte Praxis auch für das Bundesverwaltungsgericht Geltung. Die Anwendung von Art. 14a Abs. 6 ANAG setzt eine Abwägung zwischen den Interessen des Ausländers auf Verbleib in der Schweiz und denjenigen der Schweiz an seiner Wegweisung voraus und schränkt dabei die Interessen des Staates auf den Schutz vor Gefährdung der öffentlichen Sicherheit und Ordnung oder deren schwerwiegende Verletzung ein (vgl. EMARK 2004 Nr. 39, 2003 Nr. 3, 1997 Nr. 24, 1995 Nrn. 10 und 11).</w:t>
      </w:r>
    </w:p>
    <w:p>
      <w:r>
        <w:rPr>
          <w:b/>
        </w:rPr>
        <w:t>E. 5.4.1</w:t>
      </w:r>
    </w:p>
    <w:p>
      <w:r>
        <w:t>Nach feststehender Praxis ist die Ausschlussklausel von Art. 14a Abs. 6 ANAG mit Zurückhaltung und insbesondere unter Beachtung des Verhältnismässigkeits-prinzipes anzuwenden (vgl. EMARK 2003 Nr. 3, 1995 Nrn. 10 und 11). Ein konkreter Hinweis darauf, was hinsichtlich der Anwendung von Art. 14a Abs. 6 ANAG als verhältnismässig gilt, ergibt sich aus dem in EMARK 1995 Nr. 20 festgehaltenen und in EMARK 2004 Nr. 39 wiederholten Grundsatz, wonach in Bezug auf diese Ausschlussklausel ein im Vergleich zu den Ausnahmen bei der wegen Unmöglichkeit angeordneten vorläufigen Aufnahme wegen kriminellen, dissozialen oder rechtsmissbräuchlichen Verhaltens (vgl. Bundesratsbeschluss vom 20. April 1994 betreffend srilankische Staatsangehörige, welche ihr Asylgesuch vor dem 1. Juli 1990 eingereicht haben) höherer Massstab anzusetzen ist.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Interessensabwägung ist der angedrohte Strafrahmen in Bezug zur verhängten Strafe zu setzen (EMARK 1995 Nr. 11). Auch die wiederholte Deliktsbegehung kann trotz bedingt ausgesprochener Freiheitsstrafe Anhaltspunkte für eine Gefährdung der öffentlichen Sicherheit und Ordnung geben, stellt eine solche doch die vermutete günstige Prognose erheblich in Frage. Des Weiteren kann das Vorleben der betroffenen Person bei der Interessensabwägung mit berücksichtigt werden (EMARK 2003 Nr. 3 E. 3a). Die öffentliche Sicherheit und Ordnung kann im Übrigen auch durch asoziales Verhalten verletzt oder gefährdet werden, wobei auch hier eine schwerwiegende Störung vorliegen muss (EMARK 1997 Nr. 24 und Gattiker, a.a.O., S. 99).</w:t>
      </w:r>
    </w:p>
    <w:p>
      <w:r>
        <w:rPr>
          <w:b/>
        </w:rPr>
        <w:t>E. 5.4.2</w:t>
      </w:r>
    </w:p>
    <w:p>
      <w:r>
        <w:t>Vorliegend steht aufgrund der Akten fest, dass der Beschwerdeführer mit Urteil vom 30. November 2006 des _______ des bandenmässigen Diebstahls, des versuchten bandenmässigen Diebstahls, des geringfügigen Diebstahls und der mehrfachen Übertretung des Betäubungsmittelgesetzes schuldig gesprochen und zu einer siebenmongatigen, unbedingt ausgesprochenen Gefängnisstrafe verurteilt wurde. Mit gleichem Urteil wurden diverse, zuvor bedingt ausgesprochene Gefängnisstrafen widerrufen. Das Urteil ist in Rechtskraft erwachsen. Der Beschwerdeführer verbüsst die Reststrafe gegenwärtig im _______. Vorab ist festzuhalten, dass die Straftaten des Beschwerdeführers wesentlich schwerer wiegen als die Delikte, die den in EMARK 1995 Nrn. 10 und 11 publizierten Urteilen zugrunde lagen, in denen erwogen wurde, die Verurteilung zu einer bedingten Freiheitsstrafe lasse in der Regel nicht auf eine schwerwiegende Gefährdung oder Verletzung der öffentlichen Sicherheit und Ordnung schliessen. Wurden die Beschwerdeführer in jenen Fällen zu einer einmaligen Freiheitsstrafe von sieben beziehungsweise zehn Tagen sowie einer Busse verurteilt, musste der Beschwerdeführer vorliegend mehrmals zu teilweise erheblich längeren und unbedingt ausgesprochenen Gefängnisstrafen verurteilt werden. Zu Ungunsten des Beschwerdeführers fällt zudem ins Gewicht, dass die zahlreichen Straftaten zwischen Juli 2005 und Juli 2006 begangen wurden, womit der Beschwerdeführer deutlich gezeigt hat, dass er nicht nur unwillig ist, sich an die elementaren Regeln der schweizerischen Rechtsordnung zu halten, sondern dass er mit seinem deliktischen Verhalten die öffentliche Sicherheit und Ordnung innert einer relativ kurzen Zeitspanne wiederholt verletzt hat. Gegen den Beschwerdeführer spricht sodann die Tatsache, dass die zunächst bedingt ausgesprochenen kürzeren Gefängnisstrafen später widerrufen wurden, was auf eine relative Schwere des Verschuldens und eine ungünstige Prognose schliessen lässt. Ferner ist in Betracht zu ziehen, dass der Berschwerdeführer anfänglich wegen geringfügigen Vermögensdelikten verurteilt wurde, seine Verurteilungen indessen später infolge mehrfachen Diebstahls und Hehlerei und schliesslich auch wegen bandenmässigem Diebstahl erfolgten, was eine deutliche Steigerung darstellt und die Bereitschaft des Beschwerdeführers zu deliktischem Verhalten untermauert.</w:t>
      </w:r>
    </w:p>
    <w:p>
      <w:r>
        <w:rPr>
          <w:b/>
        </w:rPr>
        <w:t>E. 5.4.3</w:t>
      </w:r>
    </w:p>
    <w:p>
      <w:r>
        <w:t>Angesichts der aufgezeigten Sachlage sind die Voraussetzungen von Art. 14a Abs. 6 ANAG in casu erfüllt. Der Beschwerdeführer hat die öffentliche Sicherheit und Ordnung immer wieder und teilweise gravierend verletzt. Seine Handlungen lassen darauf schliessen, dass von einem erheblichen Deliktspotential auszugehen ist und aufgrund der heutigen Aktenlage auch in Zukunft Tendenzen zu strafrechtlich relevantem Verhalten bestehen. In Abwägung zwischen dem privaten Interesse des Beschwerdeführers am weiteren Aufenthalt in der Schweiz und dem öffentlichen Interesse der Schweiz am Vollzug der Wegweisung des Beschwerdeführers überwiegt deshalb das öffentliche Interesse.</w:t>
      </w:r>
    </w:p>
    <w:p>
      <w:r>
        <w:rPr>
          <w:b/>
        </w:rPr>
        <w:t>E. 5.4.4</w:t>
      </w:r>
    </w:p>
    <w:p>
      <w:r>
        <w:t>Zusammenfassend ist festzuhalten, dass vorliegend die Zumutbarkeit des Wegweisungsvollzuges aufgrund der Anwendung von Art. 14a Abs. 6 ANAG nicht zu prüfen ist.</w:t>
      </w:r>
    </w:p>
    <w:p>
      <w:r>
        <w:rPr>
          <w:b/>
        </w:rPr>
        <w:t>E. 5.5</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5.6</w:t>
      </w:r>
    </w:p>
    <w:p>
      <w:r>
        <w:t>Insgesamt ist die durch die Vorinstanz verfügte Wegweisung und deren Vollzug zu bestätigen. Eine Anordnung der vorläufigen Aufnahme fällt daher ausser Betracht (Art. 14a Abs. 1 - 4 ANAG).</w:t>
      </w:r>
    </w:p>
    <w:p>
      <w:r>
        <w:rPr>
          <w:b/>
        </w:rPr>
        <w:t>E. 6</w:t>
      </w:r>
    </w:p>
    <w:p>
      <w:r>
        <w:t>Aus diesen Erwägungen ergibt sich, dass die angefochtene Verfügung im Ergebnis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und 5 VwVG), auf insgesamt Fr. 600.-- festzusetzen (Art. 16 Abs. 1 Bst. a VGG i.V.m. Art. 1 bis 3 des Reglements über die Kosten und Entschädigungen vor dem Bundesverwaltungsgericht vom 11. Dezember 2006 [VGKE]) und mit dem am 13. April 2006 einbezahlten Kostenvorschuss in der Höhe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