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D-5599/2023 vom 14. November 2023</w:t>
      </w:r>
    </w:p>
    <w:p>
      <w:r>
        <w:t>Bundesverwaltungsgericht, 2023-11-14, IT</w:t>
      </w:r>
    </w:p>
    <w:p>
      <w:r>
        <w:rPr>
          <w:b/>
        </w:rPr>
        <w:t xml:space="preserve">Quelle: </w:t>
      </w:r>
      <w:r>
        <w:t>https://mcp.opencaselaw.ch/entscheid/bvger_D-5599_2023</w:t>
      </w:r>
    </w:p>
    <w:p>
      <w:r>
        <w:t>FR: TAF D-5599/2023 du 14 novembre 2023</w:t>
      </w:r>
    </w:p>
    <w:p>
      <w:r>
        <w:t>IT: TAF D-5599/2023 del 14 novembre 2023</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ed art. 44 LAsi nonché art. 32 OAsi 1; DTAF 2013/37 consid. 4.4; 2009/50 consid. 9); che pertanto, il Tribunale è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secondo prassi costante del Tribunale, circa la valutazione degli ostacoli all'allontanamento, vale lo stesso apprezzamento della prova consacrato al riconoscimento della qualità di rifugiato, ovvero il o la ricorrente deve provare o per lo meno rendere verosimile l'esistenza di un impedimento (cfr. DTAF 2011/24 consid. 10.2),</w:t>
      </w:r>
    </w:p>
    <w:p>
      <w:r>
        <w:t>D-5599/2023 Pagina 8 che nella decisione impugnata, la SEM ha ritenuto l'esecuzione dell'allontanamento ammissibile, ragionevolmente esigibile e possibile; che in particolare, i problemi medici non sarebbero ostativi all'esecuzione dell'allontanamento, che nel proprio gravame, l'insorgente ritiene che andrebbe riconosciuto il rischio a cui sarebbe esposta in caso di ritorno in Georgia a causa dell'assenza di altri famigliari da cui ricevere un aiuto; che pertanto l'esecuzione dell'allontanamento non sarebbe ragionevolmente esigibile, che, giusta l'art. 83 cpv. 3 LStrI, l'esecuzione dell'allontanamento non è ammissibile quando comporterebbe una violazione degli impegni di diritto internazionale pubblico della Svizzera, che nella misura in cui la ricorrente non può prevalersi del principio del divieto di respingimento (art. 5 cpv. 1 LAsi), non v'è neppure motivo di considerare l'esistenza di un rischio personale, concreto e serio di essere esposto, in caso di allontanamento nel suo paese d'origine, ad un trattamento proibito in relazione all'art. 3 della Convenzione per la salvaguardia dei diritti dell'uomo e delle libertà fondamentali del</w:t>
      </w:r>
    </w:p>
    <w:p>
      <w:r>
        <w:rPr>
          <w:b/>
        </w:rPr>
        <w:t>E. 3</w:t>
      </w:r>
    </w:p>
    <w:p>
      <w:r>
        <w:t>Le spese processuali, di CHF 750.-, sono poste a carico della ricorrente. Tale ammontare deve essere versato alla cassa del Tribunale amministrativo federale, entro un termine di 30 giorni dalla spedizione della presente sentenza.</w:t>
      </w:r>
    </w:p>
    <w:p>
      <w:r>
        <w:rPr>
          <w:b/>
        </w:rPr>
        <w:t>E. 4</w:t>
      </w:r>
    </w:p>
    <w:p>
      <w:r>
        <w:t>Questa sentenza è comunicata alla ricorrente, alla SEM e all'autorità cantonale.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