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D-5598/2022 vom 9. Dezember 2022</w:t>
      </w:r>
    </w:p>
    <w:p>
      <w:r>
        <w:t>Bundesverwaltungsgericht, 2022-12-09, DE</w:t>
      </w:r>
    </w:p>
    <w:p>
      <w:r>
        <w:rPr>
          <w:b/>
        </w:rPr>
        <w:t xml:space="preserve">Quelle: </w:t>
      </w:r>
      <w:r>
        <w:t>https://mcp.opencaselaw.ch/entscheid/bvger_D-5598_2022</w:t>
      </w:r>
    </w:p>
    <w:p>
      <w:r>
        <w:t>FR: TAF D-5598/2022 du 9 décembre 2022</w:t>
      </w:r>
    </w:p>
    <w:p>
      <w:r>
        <w:t>IT: TAF D-5598/2022 del 9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erhebt in seiner Beschwerde formelle Rügen, die vorab zu prüfen sind.</w:t>
      </w:r>
    </w:p>
    <w:p>
      <w:r>
        <w:rPr>
          <w:b/>
        </w:rPr>
        <w:t>E. 4.2.1</w:t>
      </w:r>
    </w:p>
    <w:p>
      <w:r>
        <w:t>Er rügt unter dem Titel «Verfahren, Verletzung des rechtlichen Gehörs», dass seine Rechtsvertretung trotz seines ausdrücklichen Wunsches bei der Entscheideröffnung nicht anwesend gewesen sei. Dies führe zu einer Einschränkung seiner Rechtsschutzmöglichkeiten.</w:t>
      </w:r>
    </w:p>
    <w:p>
      <w:r>
        <w:rPr>
          <w:b/>
        </w:rPr>
        <w:t>E. 4.2.2</w:t>
      </w:r>
    </w:p>
    <w:p>
      <w:r>
        <w:t>Den Akten ist zu entnehmen, dass der angefochtene Entscheid an den zuständigen Leistungserbringer adressiert und am 29. November 2022 der Rechtsvertretung ausgehändigt wurde (vgl. act. SEM 1204326-21/16 S. 1 [Begleitschreiben] und S. 16 [Empfangsbestätigung]). Damit ist die Entscheideröffnung nicht zu beanstanden (vgl. Art. 12a Abs. 2 AsylG). Zudem legt der Beschwerdeführer nicht dar, welche konkreten Auswirkungen ein allfälliger Handwechsel innerhalb des Leistungserbringers auf das rechtliche Gehör oder die Rechtsschutzmöglichkeiten des Beschwerdeführers gehabt haben sollte. Der Beschwerdeführer hat innert Frist eine vollständige Beschwerde eingereicht. Gegenteiliges bringt der Beschwerdeführer nicht vor und er stellt diesbezüglich auch keine Anträge.</w:t>
      </w:r>
    </w:p>
    <w:p>
      <w:r>
        <w:rPr>
          <w:b/>
        </w:rPr>
        <w:t>E. 4.2.3</w:t>
      </w:r>
    </w:p>
    <w:p>
      <w:r>
        <w:t>Die Rüge ist folglich unbehelflich.</w:t>
      </w:r>
    </w:p>
    <w:p>
      <w:r>
        <w:rPr>
          <w:b/>
        </w:rPr>
        <w:t>E. 4.3</w:t>
      </w:r>
    </w:p>
    <w:p>
      <w:r>
        <w:t>Weiter kritisiert der Beschwerdeführer, die Vorinstanz habe sich in Hinblick auf die Situation in Kroatien auf acht Monate alte Abklärungen der Schweizerischen Botschaft gestützt, obwohl zwischenzeitlich neue Berichte zu Kroatien, etwa von der SFH, veröffentlicht worden seien. Diesbezüglich ist festzuhalten, dass die Argumentation der Vorinstanz nicht zu beanstanden ist. Das Bundesverwaltungsgericht geht auch unter Berücksichtigung der neusten Berichte zum heutigen Zeitpunkt davon aus, dass für eine Änderung der dem vorinstanzlichen Entscheid zugrunde gelegten Rechtsprechung, welche wiederum auf den Abklärungen der Schweizerischen Botschaft in Kroatien basiert, keine Veranlassung besteht (vgl. auch Urteile des BVGer F-3984/2022 vom 14. November 2022 E. 3.2.2 und D-5299/2022 vom 30. November 2022 E. 4.4). Folglich waren weitere Abklärungen durch das SEM aufgrund der neusten Berichte nicht angezeigt.</w:t>
      </w:r>
    </w:p>
    <w:p>
      <w:r>
        <w:rPr>
          <w:b/>
        </w:rPr>
        <w:t>E. 4.4</w:t>
      </w:r>
    </w:p>
    <w:p>
      <w:r>
        <w:t>Dem Gesagten zufolge erweisen sich die formellen Rügen als unbegründet. Der Kassationsantrag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5.4</w:t>
      </w:r>
    </w:p>
    <w:p>
      <w:r>
        <w:t>Ein Abgleich des Fingerabdrucks des Beschwerdeführers mit der Fingerabdruck-Datenbank ergab, dass dieser am (...) in Kroatien ein Asylgesuch eingereicht hat. Das SEM ersuchte deshalb die kroatischen Behörden am 11. November 2022 um Wiederaufnahme des Beschwerdeführers. Nachdem die kroatischen Behörden dem Gesuch um Rückübernahme gestützt auf Art. 20 Abs. 5 Dublin-III-VO innert der in Art. 25 Abs. 1 Dublin-III-VO festgelegten Frist zugestimmt und gleichzeitig darauf hingewiesen haben, dass das Verfahren des Beschwerdeführenden noch im Gange sei, ist die Zuständigkeit Kroatiens somit grundsätzlich gegeben. Daran vermag der Einwand des Beschwerdeführers, er sei in Kroatien zur Abgabe seiner Fingerabdrücke gezwungen worden, nichts zu ändern. Bereits seine Einreise in das Hoheitsgebiet des Dublin-Staates hätte die Zuständigkeit Kroatiens für die Durchführung des Asyl- und Wegweisungsverfahrens begründet (Art. 13 Abs. 1 Bst. a Dublin-III-VO). Im Übrigen räumt die Dublin-III-VO den Schutzsuchenden kein Recht ein, den ihren Antrag prüfenden Staat selber auszuwählen (vgl. BVGE 2010/45 E. 8.3).</w:t>
      </w:r>
    </w:p>
    <w:p>
      <w:r>
        <w:rPr>
          <w:b/>
        </w:rPr>
        <w:t>E. 6.1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F-4542/2022 vom 11. November 2022 E. 6.2 m.w.H, D-4160/2022 vom 28. September 2022 E. 7.3 und D-5299/2022 vom 30. November 2022 E. 6.2). Für eine Änderung der Rechtsprechung besteht auch in Würdigung der vom Beschwerdeführer gemachten Äusserungen zu seiner erlebten Behandlung in Kroatien keine Veranlassung, zumal die dargelegten Erlebnisse an der kroatischen Aussengrenze gerade im Zusammenhang mit seiner illegalen Einreise von Serbien aus stehen und nicht die vorliegend interessierende Situation der Rückkehr nach Durchlaufen eines Dublin-Verfahrens betreffen. Die Vorin- stanz hat auf Grundlage seiner Aussagen und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Urteil des BVGer D-4160/2022 vom 28. September 2022 E. 7.3.1). Aus den in der Beschwerde zitierten Urteilen der deutschen Gerichte, die angeblich zu einer anderen Erkenntnis gelangt seien, und den Berichten resp. dem beigelegten Bericht kann der Beschwerdeführer nichts zu seinen Gunsten ableiten. Folglich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vermag nicht darzutun, dass die ihm bei einer Rückführung nach Kroatien zu erwartenden Bedingungen derart schlecht sind, dass sie zu einer Verletzung von Art. 3 EMRK führen könnten.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Im Übrigen steht dem Beschwerdeführer die Möglichkeit offen, die vor Ort tätigen karitativen Organisationen zu kontaktieren.</w:t>
      </w:r>
    </w:p>
    <w:p>
      <w:r>
        <w:rPr>
          <w:b/>
        </w:rPr>
        <w:t>E. 7.3</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Die Vorinstanz ist demnach zu Recht gestützt auf Art. 31a Abs. 1 Bst. b AsylG auf die Asylgesuche nicht eingetreten und hat die Wegweisung nach Kroatien angeordnet. Nach dem Gesagten ist die Beschwerde abzuweisen.</w:t>
      </w:r>
    </w:p>
    <w:p>
      <w:r>
        <w:rPr>
          <w:b/>
        </w:rPr>
        <w:t>E. 9.1</w:t>
      </w:r>
    </w:p>
    <w:p>
      <w:r>
        <w:t>Der am 6. Dezember 2022 verfügte Vollzugsstopp fällt mit dem vorliegenden Urteil dahin.</w:t>
      </w:r>
    </w:p>
    <w:p>
      <w:r>
        <w:rPr>
          <w:b/>
        </w:rPr>
        <w:t>E. 9.2</w:t>
      </w:r>
    </w:p>
    <w:p>
      <w:r>
        <w:t>Mit dem Entscheid in der Hauptsache sind die Gesuche um Erteilung der aufschiebenden Wirkung und um Verzicht auf die Erhebung eines Kostenvorschusses gegenstandslos geworden.</w:t>
      </w:r>
    </w:p>
    <w:p>
      <w:r>
        <w:rPr>
          <w:b/>
        </w:rPr>
        <w:t>E. 9.3</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9.4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