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D-5597/2012 vom 26. November 2012</w:t>
      </w:r>
    </w:p>
    <w:p>
      <w:r>
        <w:t>Bundesverwaltungsgericht, 2012-11-26, DE</w:t>
      </w:r>
    </w:p>
    <w:p>
      <w:r>
        <w:rPr>
          <w:b/>
        </w:rPr>
        <w:t xml:space="preserve">Quelle: </w:t>
      </w:r>
      <w:r>
        <w:t>https://mcp.opencaselaw.ch/entscheid/bvger_D-5597_2012</w:t>
      </w:r>
    </w:p>
    <w:p>
      <w:r>
        <w:t>FR: TAF D-5597/2012 du 26 novembre 2012</w:t>
      </w:r>
    </w:p>
    <w:p>
      <w:r>
        <w:t>IT: TAF D-5597/2012 del 26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Beschwerde vom 26. Oktober 2012 sind nicht geeignet eine Änderung der vorinstanzlichen Verfügung zu bewirken. Der Argumentation der Vorinstanz werden keine stichhaltigen und substanziierten Gründe entgegengesetzt. Eine diesbezügliche Auseinandersetzung unterbleibt zwar nicht gänzlich. Die Ausführungen des Beschwerdeführers vermögen jedoch die Erwägungen des BFM nicht umzustossen, zumal der Beschwerdeführer im Wesentlichen an der Asylrelevanz und Glaubhaftigkeit seiner Vorbringen festhält und sogar einräumt, dass er in der Vergangenheit nie längere Zeit in der Türkei in Haft gewesen sei und seine Vorbringen gewisse Fragen aufwerfen (vgl. S. 5 der Eingabe vom 26. Oktober 2012). Für das Bundesverwaltungsgericht besteht nach dem Studium der Akten keine Veranlassung, die Erwägungen des Bundesamtes zu beanstanden. Um Wiederholungen zu vermeiden kann auf die zutreffenden Erwägungen in der angefochtenen Verfügung verwiesen werden.</w:t>
      </w:r>
    </w:p>
    <w:p>
      <w:r>
        <w:rPr>
          <w:b/>
        </w:rPr>
        <w:t>E. 5.2</w:t>
      </w:r>
    </w:p>
    <w:p>
      <w:r>
        <w:t>Soweit der Beschwerdeführer auf Beschwerdeebene sinngemäss Nachteile aufgrund seiner Zugehörigkeit zur kurdischen Volksgruppe geltend macht, ist an dieser Stelle festzuhalten, dass diese allfälligen Nachteile schon aufgrund deren mangelnder Intensität nicht als asylrelevant angesehen werden können; die schweizerischen Asylbehörden verneinen denn auch in konstanter Praxis das Vorliegen einer so genannten Kollektivverfolgung von Kurden aus der Türkei (vgl. bereits Entscheidungen und Mitteilungen der Schweizerischen Asylrekurskommission [EMARK] 1993 Nr. 20 E. 3.a).</w:t>
      </w:r>
    </w:p>
    <w:p>
      <w:r>
        <w:rPr>
          <w:b/>
        </w:rPr>
        <w:t>E. 5.3</w:t>
      </w:r>
    </w:p>
    <w:p>
      <w:r>
        <w:t>Es erübrigt sich deshalb, auf die weiteren Ausführungen in der Be­schwerde sowie auf den eingereichten Internetauszug einer österreichi­schen Tageszeitung vom 15. Oktober 2012, aufgerufen am 26. Oktober 2012 einzugehen, da sie am Ergebnis der vorgenommenen Würdigung nichts zu ändern vermögen. Unter diesen Umständen ist somit festzuhal­ten, dass der Beschwerdeführer einen flüchtlingsrechtlich bedeutsamen Sachverhalt weder nachgewiesen noch glaubhaft gemacht hat. Die Feststellung des BFM, der Beschwerdeführer erfülle die Flüchtlingseigen­schaft gemäss Art. 3 AsylG nicht, ist dementsprechend zu bestätigen. Das BFM hat das Asylgesuch zu Recht und mit zutreffender Begründung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In der Beschwerde wird unter anderem gerügt, dass für den Beschwerdeführer als Kurden und ehemaligen Aktivisten der PKK ange­sichts der nach wie vor wahrscheinlichen Diskriminierungen und Bedrohungen durch die türkischen Behörden eine Wegweisung unzumutbar sei, zumal gerade in den vergangenen Monaten die Kämpfe zwischen den Regierungstruppen und den Angehörigen der PKK wieder an Intensität gewonnen hätten. In diesem Zusammenhang wurde die Einholung aktueller Lageberichte sowie aktueller Zeitungsartikel gefordert und auf den eingereichten Zeitungsartikel vom 15. Oktober 2012 verwie­sen.</w:t>
      </w:r>
    </w:p>
    <w:p>
      <w:r>
        <w:rPr>
          <w:b/>
        </w:rPr>
        <w:t>E. 7.6.1</w:t>
      </w:r>
    </w:p>
    <w:p>
      <w:r>
        <w:t>Vorab ist an dieser Stelle festzuhalten, dass es dem Beschwerdeführer nicht gelungen ist, eine asylrelevante Verfolgung in der Türkei glaubhaft zu machen (vgl. die vorstehenden Ausführungen unter E. 5.1 f.). Somit erübrigt es sich, die Zumutbarkeit des Wegweisungsvollzuges im Hinblick auf die auf Beschwerdeebenen geltend gemachte besondere Situation (Diskriminierung des Beschwerdeführers als PKK-Aktivist und Kurde) zu prüfen (vgl. in diesem Zusammenhang auch die vorstehenden Erwägungen unter E. 7.3). Davon abgesehen verfügt das BFM über genügend aktuelle und länderspezifische Kenntnisse, die es ihm gestatten, die aktuelle Lage in der Türkei einzuschätzen. Auch unter Berücksichtigung öffentlich zugänglicher Quellen hat das BFM vorliegend zurecht festgestellt, dass angesichts der gegenwärtigen Lage in der Türkei nicht von einer Situation allgemeiner Gewalt oder von kriegerischen oder bürgerkriegsähnlichen Verhältnissen gesprochen werden kann, welche für den Beschwerdeführer bei einer Rückkehr eine konkrete Gefährdung darstellen würde. Vor diesem Hintergrund erübrigt es sich, weitere Lageberichte über die Türkei einzuholen.</w:t>
      </w:r>
    </w:p>
    <w:p>
      <w:r>
        <w:rPr>
          <w:b/>
        </w:rPr>
        <w:t>E. 7.6.2</w:t>
      </w:r>
    </w:p>
    <w:p>
      <w:r>
        <w:t>Auch aufgrund der persönlichen Situation des Beschwerdeführers sind keine Gründe ersichtlich, die gegen die Zumutbarkeit des Wegwei­sungsvollzugs sprechen. Der junge und den Akten zufolge gesunde Be­schwerdeführer hat eine Ausbildung als Koch und Kellner absolviert (vgl. A15/14 S. 4) und im familieneigenen Restaurant in B._______ bereits erste Erfahrungen gesammelt (vgl. a.a.O; A38/19 S. 4 F. 33) sowie während seines Aufenthaltes in Italien in einem Kebab-Haus gearbeitet (vgl. A38/19 S. 5 F. 37) weshalb anzunehmen ist, er könne sich in seiner Hei­mat wieder wirtschaftlich integrieren. Gemäss seinen Angaben lebte der Beschwerdeführer vor seiner Ausreise in der Stadt B._______ und im Dorf C._______, welches sich ungefähr 27 km von B._______ entfernt befindet (vgl. A15/14 S. 4). In diesem Dorf lebte er im Haus seiner Grosseltern. Da sich sein Vater dreimal verheiratet hat, wuchs er bei seinem Grossvater auf (vgl. a.a.O). Sein Vater und zehn seiner insgesamt zwölf Geschwis­tern leben noch immer in B._______ (vgl. A15/14 S. 6). Der Beschwerdeführer kann somit in B._______ und in C._______ auf ein intaktes familiäres beziehungsweise soziales Netz zurückgreifen, welches ihm bei der Rein­tegration behilflich sein kann. Der Beschwerdeführer hat zudem ausdrücklich erklärt, die wirtschaftliche Situation seiner Familie sei gut (vgl. A38/19 S.10 F. 108), weshalb davon auszugehen ist, dass sie ihm bei seiner Rückkehr auch allenfalls finanziell unter die Arme greifen wird. Nach dem Gesagten erweist sich der Vollzug der Wegweisung auch als zumutbar.</w:t>
      </w:r>
    </w:p>
    <w:p>
      <w:r>
        <w:rPr>
          <w:b/>
        </w:rPr>
        <w:t>E. 7.7</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7.8</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9. November 2012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