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D-5594/2021 vom 26. November 2021</w:t>
      </w:r>
    </w:p>
    <w:p>
      <w:r>
        <w:t>Bundesverwaltungsgericht, 2021-11-26, DE</w:t>
      </w:r>
    </w:p>
    <w:p>
      <w:r>
        <w:rPr>
          <w:b/>
        </w:rPr>
        <w:t xml:space="preserve">Quelle: </w:t>
      </w:r>
      <w:r>
        <w:t>https://mcp.opencaselaw.ch/entscheid/bvger_D-5594_2021_d20211126</w:t>
      </w:r>
    </w:p>
    <w:p>
      <w:r>
        <w:t>FR: TAF D-5594/2021 du 26 novembre 2021</w:t>
      </w:r>
    </w:p>
    <w:p>
      <w:r>
        <w:t>IT: TAF D-5594/2021 del 26 novembre 2021</w:t>
      </w:r>
    </w:p>
    <w:p>
      <w:pPr>
        <w:pStyle w:val="Heading2"/>
      </w:pPr>
      <w:r>
        <w:t>Regeste</w:t>
      </w:r>
    </w:p>
    <w:p>
      <w:r>
        <w:t>Asyl (ohne Wegweisungsvollzug) | Asyl (ohne Wegweisungsvollzug); Verfügung des SEM vom 26.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w:t>
      </w:r>
    </w:p>
    <w:p>
      <w:r>
        <w:t>D-5594/2021 Seite 6 würdiges Interesse an deren Aufhebung beziehungsweise Änderung. Er ist daher zur Einreichung der Beschwerde legitimiert (Art. 105 und Art. 108 Abs. 1 AsylG; Art. 48 Abs. 1 sowie Art. 52 Abs. 1 VwVG). Auf die Be- schwerde ist einzutreten.</w:t>
      </w:r>
    </w:p>
    <w:p>
      <w:r>
        <w:rPr>
          <w:b/>
        </w:rPr>
        <w:t>E. 1.4</w:t>
      </w:r>
    </w:p>
    <w:p>
      <w:r>
        <w:t>Anfechtungsgegenstand der vorliegenden Beschwerde bildet die Ver- fügung des SEM vom 18. Januar 2022, welche die ursprünglich angefoch- tene Verfügung vom 26. November 2021 ersetzte, zumal sich die Anpas- sung im Wesentlichen auf eine Aufnahme der Altersanpassung im ZEMIS ins Dispositiv beschränkt, während die Verfügung im Asylpunkt keine Neu- erungen erfuhr (vgl. Art. 58 Abs. 3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2011/51 E. 6.1).</w:t>
      </w:r>
    </w:p>
    <w:p>
      <w:r>
        <w:rPr>
          <w:b/>
        </w:rPr>
        <w:t>E. 3.3</w:t>
      </w:r>
    </w:p>
    <w:p>
      <w:r>
        <w:t>Eine begründete Furcht vor Verfolgung ist zu bejahen, wenn konkreter Anlass zur Annahme besteht, eine Verfolgung hätte sich – aus der Sicht im Zeitpunkt der Ausreise – mit beachtlicher Wahrscheinlichkeit und in abseh- barer Zeit verwirklicht beziehungsweise werde sich – auch aus heutiger</w:t>
      </w:r>
    </w:p>
    <w:p>
      <w:r>
        <w:t>D-5594/2021 Seite 7 Sicht – mit ebensolcher Wahrscheinlichkeit in absehbarer Zukunft verwirk- lichen. Eine bloss entfernte Möglichkeit künftiger Verfolgung genügt nicht; es müssen konkrete Indizien vorliegen, die den Eintritt der erwarteten Be- nachteiligung als wahrscheinlich und dementsprechend die Furcht davor als realistisch und nachvollziehbar erscheinen lassen (vgl. BGVE 2011/51 E. 6.2 m.w.H.).</w:t>
      </w:r>
    </w:p>
    <w:p>
      <w:r>
        <w:rPr>
          <w:b/>
        </w:rPr>
        <w:t>E. 3.4</w:t>
      </w:r>
    </w:p>
    <w:p>
      <w:r>
        <w:t>Das SEM erwog zu Recht, dass zwar die subjektive Furcht des Be- schwerdeführers aufgrund der Ereignisse an der Schule durchaus nach- vollziehbar sei, zumal der besagte Mullah und seine Anhänger eine radi- kale Auslegung der Scharia propagierten und in Herat über viel Einfluss verfügten. Dem SEM ist aber auch dahingehend zuzustimmen, dass sich eine Gefährdung nicht durch konkrete Indizien verdichtet hätte. Dabei kann auf die vorinstanzlichen Ausführungen verwiesen werden. Der Umstand, dass sich Anhänger des Mullahs bei seinem Onkel nach ihm erkundigt hät- ten, ohne dass er oder andere Familienangehörige in der Folge darüber- hinausgehende Nachteile erfahren hätten, lässt nicht auf ein ernsthaftes Verfolgungsinteresse schliessen. Diese Begründung nimmt – entgegen dem vom Beschwerdeführer in pauschaler Weise gemachten Einwand, das SEM habe seine Vorbringen unberücksichtigt gelassen – gerade Bezug auf eben diese konkreten Vorbringen, weshalb der Einwand nicht zu überzeu- gen vermag. Darüber hinaus ist zu erwähnen, dass besagter Mullah im September 2022 Opfer eines Anschlags geworden ist (vgl. United Nations, The situation in Afghanistan and its implications for international peace and security, Report of the Secretary-General, 7. Dezember 2022, A/77/636-S/2022/916, Ziffer. 21, &lt; https://www.ecoi.net/en/file/local/2084394/N2273222.pdf &gt;; TOLOnews, Prominent Imam Killed in Herat Mosque Blast, 2. September 2022, &lt; https://tolonews.com/afghanistan-179670 &gt;, beide abgerufen am 14. April 2023), was die Wahrscheinlichkeit einer Verfolgung weiter schmä- lert. Das Vorliegen einer begründeten Furcht vor Verfolgung ist somit zu vernei- nen.</w:t>
      </w:r>
    </w:p>
    <w:p>
      <w:r>
        <w:rPr>
          <w:b/>
        </w:rPr>
        <w:t>E. 3.5</w:t>
      </w:r>
    </w:p>
    <w:p>
      <w:r>
        <w:t>Das SEM hat somit zu Recht die Flüchtlingseigenschaft verneint und das Asylgesuch abgelehnt.</w:t>
      </w:r>
    </w:p>
    <w:p>
      <w:r>
        <w:t>D-5594/2021 Seite 8</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4.3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Bei diesem Ausgang des Verfahrens wären die Kosten dem Beschwerde- führer aufzuerlegen (Art. 63 Abs. 1 VwVG). Da ihm jedoch mit Zwischen- verfügung vom 6. Januar 2022 die unentgeltliche Prozessführung nach Art. 65 Abs. 1 VwVG gewährt worden ist, sind keine Verfahrenskosten zu erheben.</w:t>
      </w:r>
    </w:p>
    <w:p>
      <w:r>
        <w:t>(Dispositiv nächste Seite)</w:t>
      </w:r>
    </w:p>
    <w:p>
      <w:r>
        <w:t>D-5594/2021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