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D-5593/2022 vom 25. Januar 2023</w:t>
      </w:r>
    </w:p>
    <w:p>
      <w:r>
        <w:t>Bundesverwaltungsgericht, 2023-01-25, FR</w:t>
      </w:r>
    </w:p>
    <w:p>
      <w:r>
        <w:rPr>
          <w:b/>
        </w:rPr>
        <w:t xml:space="preserve">Quelle: </w:t>
      </w:r>
      <w:r>
        <w:t>https://mcp.opencaselaw.ch/entscheid/bvger_D-5593_2022</w:t>
      </w:r>
    </w:p>
    <w:p>
      <w:r>
        <w:t>FR: TAF D-5593/2022 du 25 janvier 2023</w:t>
      </w:r>
    </w:p>
    <w:p>
      <w:r>
        <w:t>IT: TAF D-5593/2022 del 25 gennaio 2023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Partant, le SEM est invité à reprendre l'instruction de la cause et à statuer dans les meilleurs délais sur les demandes d'asile des intéressés.</w:t>
      </w:r>
    </w:p>
    <w:p>
      <w:r>
        <w:rPr>
          <w:b/>
        </w:rPr>
        <w:t>E. 3</w:t>
      </w:r>
    </w:p>
    <w:p>
      <w:r>
        <w:t>L'autorité précitée versera aux recourants la somme de 300 francs à titre de dépens.</w:t>
      </w:r>
    </w:p>
    <w:p>
      <w:r>
        <w:rPr>
          <w:b/>
        </w:rPr>
        <w:t>E. 4</w:t>
      </w:r>
    </w:p>
    <w:p>
      <w:r>
        <w:t>Le présent arrêt est adressé aux recourants par l'intermédiaire de leur mandataire, au SEM et à l'autorité cantonale. Le président du collège : Le greffier : Gérald Bovier Lucien Philippe Magne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