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D-5591/2014 vom 12. Dezember 2014</w:t>
      </w:r>
    </w:p>
    <w:p>
      <w:r>
        <w:t>Bundesverwaltungsgericht, 2014-12-12, DE</w:t>
      </w:r>
    </w:p>
    <w:p>
      <w:r>
        <w:rPr>
          <w:b/>
        </w:rPr>
        <w:t xml:space="preserve">Quelle: </w:t>
      </w:r>
      <w:r>
        <w:t>https://mcp.opencaselaw.ch/entscheid/bvger_D-5591_2014</w:t>
      </w:r>
    </w:p>
    <w:p>
      <w:r>
        <w:t>FR: TAF D-5591/2014 du 12 décembre 2014</w:t>
      </w:r>
    </w:p>
    <w:p>
      <w:r>
        <w:t>IT: TAF D-5591/2014 del 12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Die Beschwerde ist frist- und formgerecht eingereicht (Art. 50 und 52 VwVG). Auf diese ist nach der fristgerechten Leistung des Kostenvorschusses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Antragsteller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Antragsteller unterliegen als syrische Staatsangehörige gemäss Art. 1 Abs. 1 VO Nr. 539/2001 in Verbindung mit Anhang I einer Visumspflicht für den Schengen-Raum. Weder dem Einladungsschreiben des Beschwerdeführers (vgl. Sachverhalt Bst. A) noch der Beschwerdeschrift vom 30. September 2014 (vgl. Sachverhalt Bst. F) sind schlüssige Hinweise dafür zu entnehmen, dass sie beabsichtigen würden, die Schweiz nach Ablauf des Visums wieder zu verlassen. Aus diesem Grunde sowie aufgrund der gesamten Umstände kann somit nicht darauf geschlossen werden, dass die Antragsteller nach Ablauf der Visa fristgerecht wieder aus dem Schengen-Raum ausreisen würden. Die Erteilung von Visa mit Gültigkeit für den gesamten Schengen-Raum fällt damit nicht in Betracht. Das BFM hat den Antragstellern somit unter diesem Aspekt im Rahmen des Einspracheverfahrens mit zutreffender Begründung die Erteilung eines Visums verweigert. Im Folgenden bleibt zu prüfen, ob das BFM zu Recht die Verweigerung von Einreisevisa in die Schweiz aus humanitären Gründen bestätigt hat.</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w:t>
      </w:r>
    </w:p>
    <w:p>
      <w:r>
        <w:rPr>
          <w:b/>
        </w:rPr>
        <w:t>E. 7.1</w:t>
      </w:r>
    </w:p>
    <w:p>
      <w:r>
        <w:t>Das Bundesverwaltungsgericht gelangt nach Prüfung der Akten zum Schluss, dass vorliegend die Voraussetzungen für die Erteilung humanitärer Visa nicht erfüllt sind. So ist den Verfahrensakten zu entnehmen, dass die Antragsteller sich aktuell in der Türkei aufhalten. Entgegen den diesbezüglichen Ausführungen in der Beschwerde handelt es sich dabei um einen sicheren Drittstaat. Syrische Staatsangehörige haben zu Tausenden Zuflucht in dem Nachbarland gefunden, das gut ausgestattete Flüchtlingslager eingerichtet hat. Anzeichen dafür, dass die Antragsteller in der Türkei einer unmittelbaren und ernsthaften Gefährdung an Leib und Leben ausgesetzt wären, liegen nicht vor. Eine konkrete Gefahr einer zwangsweisen Rückführung von der Türkei nach Syrien besteht für syrische Flüchtlinge nicht. Es wird nicht daran gezweifelt, dass sich die Antragsteller in der Türkei in einer schwierigen Lage befinden. Auch wenn ihre Lebensumstände in der Türkei unbestrittenermassen schwierig sind und es verständlich ist, dass der Beschwerdeführer ihre Anwesenheit in der Schweiz wünscht, ist ihre Situation in der Türkei nicht dergestalt, dass sie einen weiteren dortigen Verbleib gänzlich unzumutbar erscheinen lassen würde. Die Antragsteller sind in der Türkei keiner akuten Gefährdung ausgesetzt. Die in der Beschwerde erhobene, nicht näher spezifizierte Behauptung, die Antragsteller litten sehr unter dem Krieg, weshalb sie sich unbedingt in der Schweiz behandeln lassen müssten, ist nicht geeignet, an dieser Einschätzung etwas zu ändern. Das BFM hat daher im Ergebnis zu Recht das Vorliegen humanitärer Gründe verneint beziehungsweise befunden, ein Eingreifen seitens der schweizerischen Behörden sei nicht unumgänglich.</w:t>
      </w:r>
    </w:p>
    <w:p>
      <w:r>
        <w:rPr>
          <w:b/>
        </w:rPr>
        <w:t>E. 7.2</w:t>
      </w:r>
    </w:p>
    <w:p>
      <w:r>
        <w:t>Das BFM hat den Antragstellern somit zu Recht keine humanitären Visa ausgestellt.</w:t>
      </w:r>
    </w:p>
    <w:p>
      <w:r>
        <w:rPr>
          <w:b/>
        </w:rPr>
        <w:t>E. 8</w:t>
      </w:r>
    </w:p>
    <w:p>
      <w:r>
        <w:t>Die angefochtene Verfügung ist damit im Lichte von Art. 49 VwVG nicht zu beanstanden. Die Beschwerde ist daher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4. November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