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D-5587/2023 vom 12. September 2023</w:t>
      </w:r>
    </w:p>
    <w:p>
      <w:r>
        <w:t>Bundesverwaltungsgericht, 2023-09-12, DE</w:t>
      </w:r>
    </w:p>
    <w:p>
      <w:r>
        <w:rPr>
          <w:b/>
        </w:rPr>
        <w:t xml:space="preserve">Quelle: </w:t>
      </w:r>
      <w:r>
        <w:t>https://mcp.opencaselaw.ch/entscheid/bvger_D-5587_2023_d20230912</w:t>
      </w:r>
    </w:p>
    <w:p>
      <w:r>
        <w:t>FR: TAF D-5587/2023 du 12 septembre 2023</w:t>
      </w:r>
    </w:p>
    <w:p>
      <w:r>
        <w:t>IT: TAF D-5587/2023 del 12 settembre 2023</w:t>
      </w:r>
    </w:p>
    <w:p>
      <w:pPr>
        <w:pStyle w:val="Heading2"/>
      </w:pPr>
      <w:r>
        <w:t>Regeste</w:t>
      </w:r>
    </w:p>
    <w:p>
      <w:r>
        <w:t>Asyl und Wegweisung | Asyl und Wegweisung; Verfügung des SEM vom 12. September 2023 / N 802 749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D-5587/2023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der Verfügung hielt das SEM fest, die geltend gemach- ten Übergriffe aufgrund der Tätigkeit des Beschwerdeführers für die HDP seien zwar nicht auszuschliessen, aber nicht von einer genügenden Inten- sität im flüchtlingsrechtlichen Sinn. Im Weiteren sei festzustellen, dass ein- fache Parteimitglieder der HDP wegen ihrer politischen Betätigung auch nicht mit ernsthaften Nachteilen zu rechnen hätten. Der Beschwerdeführer besitze kein herausragendes politisches Profil, aufgrund dessen die Behör- den an ihm interessiert gewesen sein könnten. Das diesbezügliche Schrei- ben der HDP sei als reines Gefälligkeitsschreiben mit geringem Beweis- wert einzustufen, zumal der Text nahezu identisch sei mit dem Schreiben für seinen Bruder.</w:t>
      </w:r>
    </w:p>
    <w:p>
      <w:r>
        <w:t>D-5587/2023 Seite 6 Bezüglich des geltend gemachten Verfahrens aufgrund seiner kritischen Einträge in den sozialen Medien, welches in der Türkei gegen ihn und sei- nen Bruder eingeleitet worden sei, sei festzuhalten, dass die diesbezüglich eingereichten Beweismittel in einer internen Dokumentenanalyse als Total- fälschungen erkannt worden seien. Im Überweisungsbericht fehle ein we- sentliches Element. Zudem sei es nicht üblich, dass nur ein Gesetzesarti- kel genannt werde, obwohl ihm zwei Delikte vorgeworfen würden. Bei der Anklageschrift fehle ein wesentliches Element. Auch entspreche die Refe- renznummer nicht der üblichen Praxis der türkischen Justizorgane. Zudem könne die unterzeichnende Person das Dokument nicht erstellt haben. Bei verschiedenen Dokumenten seien jeweils der Verweis auf die digitale Um- gebung, aus der das Dokument stamme, unzutreffend oder wesentliche Angaben zu den Unterzeichnern der Dokumente nicht korrekt. In seiner Stellungnahme anlässlich des rechtlichen Gehörs habe der Beschwerde- führer ausgeführt, eine adäquate Wahrnehmung des rechtlichen Gehörs sei nicht möglich, da gestützt auf die mitgeteilten Informationen nicht klar sei, was an den eingereichten Dokumenten genau falsch sei. Es sei um Präzisierung gebeten worden. Hierzu gelte es festzuhalten, dass die Ana- lyse nicht ediert werden könne, weil an deren Geheimhaltung ein wesent- liches öffentliches Interesse bestehe. Nach dem Gesagten gelinge es dem Beschwerdeführer nicht, glaubhaft zu machen, dass die türkischen Behör- den aufgrund seiner Posts gegen ihn ermitteln würden und ihn wegen Be- treibens von Propaganda für eine Terrororganisation und Beleidigung des Staatspräsidenten angeklagt hätten. Anhand von gefälschten Dokumenten habe er die schweizerischen Asylbehörden über seine Verfolgung zu täu- schen versucht. Es sei deshalb davon auszugehen, dass er sich bislang in seinem Heimatstaat keiner Straftat schuldig gemacht habe und infolgedes- sen als strafrechtlich unbescholten gelte. Das Referenzschreiben seines Anwalts in der Türkei habe kaum Beweis- wert und vermöge an den festgestellten Fälschungen nichts zu ändern. Auch der UYAP-Auszug habe vorliegend keinen Beweiswert, zumal er nur in Kopie vorliege und auf seine Authentizität hin nicht überprüft werden könne. Zudem enthalte er keine Personenangaben und stelle keinen Beleg für die von ihm geltend gemachte Ermittlung dar.</w:t>
      </w:r>
    </w:p>
    <w:p>
      <w:r>
        <w:rPr>
          <w:b/>
        </w:rPr>
        <w:t>E. 4.2</w:t>
      </w:r>
    </w:p>
    <w:p>
      <w:r>
        <w:t>In der Beschwerde wurde bezüglich des politischen Engagements des Beschwerdeführers für die HDP ausgeführt, es werde immer wieder zu Übergriffen durch die Polizei gegen ihn kommen und der Schutzwille der türkischen Behörden sei diesbezüglich zu verneinen (vgl. auch Urteil des Bundesverwaltungsgerichts D-5205/2022 vom 28. November 2022). Es</w:t>
      </w:r>
    </w:p>
    <w:p>
      <w:r>
        <w:t>D-5587/2023 Seite 7 folgen in der Beschwerde Erläuterungen zum feindlichen Klima gegenüber Kurden in der Türkei allgemein und gegenüber Mitgliedern der HDP im Be- sonderen. Auch sei nicht korrekt, dass einfachen Mitgliedern keine ernst- haften Nachteile drohen würden. Wenn eine Person den türkischen Sicher- heitskräften bekannt sei, könne es zu wiederholten Belästigungen, Haus- durchsuchungen und Einleitung von Strafverfahren kommen, gerade wenn jemand sich auch im Internet politisch äussere. Es sei vorliegend überwie- gend wahrscheinlich, dass gegen den Beschwerdeführer wegen seines po- litischen Engagements für die HDP ein Verfahren eingeleitet worden sei und in Zukunft weitere Verfahren drohen würden, da bereits eine Anzeige der Social-Media-Beiträge durch irgendeine Person hierfür ausreichen würde. Zu den Fälschungsvorwürfen sei bereits mit der Stellungnahme vom 24. Juli 2023 bemängelt worden, dass die bekannt gegebenen Informatio- nen ungenügend seien, um adäquat Stellung zu nehmen. Insbesondere werde nicht offengelegt, welches Vergleichsmaterial beigezogen worden sei – es könne so unmöglich überprüft werden, ob die Prüfung sachgerecht und korrekt durchgeführt worden sei. Im Asylentscheid sei dazu nicht im Einzelnen Stellung genommen worden. Auf Beschwerdeebene werde da- ran festgehalten, dass die Angaben anlässlich der Gewährung des rechtli- chen Gehörs äusserst rudimentär gewesen seien. Es sei weiterhin nicht klar, welche «wesentlichen Elemente» angeblich fehlen würden, inwiefern die Referenznummer auf nicht der üblichen Praxis entsprechen solle, wes- halb der Verweis auf die digitale Umgebung fehlerhaft sein solle und wel- che wesentlichen Angaben zu Unterzeichnern nicht korrekt seien. Es möge zwar ein öffentliches Interesse daran bestehen, den Analysebericht zu den eingereichten Dokumenten nicht vollständig offenzulegen. Dennoch seien ausreichend Informationen zur Verfügung zu stellen, damit eine adäquate Stellungnahme möglich bleibe. Aufgrund der Fälschungsvorwürfe habe sein türkischer Anwalt ein Referenzschreiben verfasst und erklärt, dass bei einer Rückkehr in die Türkei Gefahr drohe. Ferner sei auch ein UYAP-Aus- zug zu den Akten gereicht worden. Da es sich dabei um einen Screenshot aus einem Online-System handle, sei nicht ersichtlich, inwiefern ein sol- ches Dokument anders denn als Kopie eingereicht werden könne.</w:t>
      </w:r>
    </w:p>
    <w:p>
      <w:r>
        <w:rPr>
          <w:b/>
        </w:rPr>
        <w:t>E. 5.1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w:t>
      </w:r>
    </w:p>
    <w:p>
      <w:r>
        <w:t>D-5587/2023 Seite 8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5.2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In Bezug auf das Engagement des Beschwerdeführers für die HDP in der Türkei kann vollumfänglich auf die überzeugenden und ausführlichen Erwägungen des SEM verwiesen werden. Die allgemeinen Bemerkungen in der Beschwerde zur Diskriminierung von Kurden und HDP-Mitgliedern vermögen daran nichts zu ändern, zumal sich daraus nichts zu Gunsten des Beschwerdeführers im Konkreten ableiten lässt. Wenn in der Be- schwerde weiter ausgeführt wird, es werde immer wieder zu Übergriffen gegen den Beschwerdeführer kommen, gilt es wiederum auf die Erwägun- gen des SEM zu verweisen, wonach die erlebten Übergriffe und damit wohl auch die künftigen nicht von relevanter Intensität waren. Schliesslich ist das SEM zu Recht von der Schutzfähigkeit und -willigkeit türkischer Behör- den ausgegangen (vgl. etwa Urteile des BVGer D-6350/2023 vom 4. Ja- nuar 2024 S. 5, D-6123/2023 29. November 2023 E. 6.2 und D-2408/2022</w:t>
      </w:r>
    </w:p>
    <w:p>
      <w:r>
        <w:t>D-5587/2023 Seite 9 vom 16. Juni 2022, E. 7.4). Das in der Beschwerde zitierte Urteil des Bun- desverwaltungsgerichts D-5205/2022 betrifft eine andere Konstellation und vermag diese Schlussfolgerungen nicht umzustossen.</w:t>
      </w:r>
    </w:p>
    <w:p>
      <w:r>
        <w:rPr>
          <w:b/>
        </w:rPr>
        <w:t>E. 5.4</w:t>
      </w:r>
    </w:p>
    <w:p>
      <w:r>
        <w:t>Im Zusammenhang mit dem Social-Media-Verfahren hat das SEM zu Recht darauf hingewiesen, dass die entsprechenden Dokumente Fäl- schungsmerkmale aufweisen. Bezüglich des Vorwurfs in der Beschwerde, wonach die bekannt gegebenen Informationen für eine adäquate Stellung- nahme ungenügend seien, hat das SEM in der Vernehmlassung zu Recht auf das Geheimhaltungsinteresse verwiesen. Entgegen den Vorbringen in der Beschwerde hat es den wesentlichen Inhalt der Analyse anlässlich des rechtlichen Gehörs und nun auch in der angefochtenen Verfügung in rechtsgenüglicher Weise zusammengefasst, damit der Beschwerdeführer wissen konnte, welche Elemente ausschlaggebend waren. Das SEM hat dargelegt, aus welchen Gründen es die jeweiligen Beweismittel als ge- fälscht erachte, nämlich dass die Referenznummer nicht der üblichen Pra- xis der türkischen Justizorgane entspreche oder der Verweis auf die digi- tale Umgebung, aus der das Dokument stamme, unzutreffend sei oder we- sentliche Elemente fehlen würden. Der Beschwerdeführer hat denn im erst- instanzlichen Verfahren durch seine zugewiesene Rechtsvertretung auch eine Stellungnahme zum Analysebericht einreichen können. Welche «we- sentlichen Elemente» fehlen, inwiefern die Referenznummer nicht der üb- lichen Praxis entspricht, weshalb der Verweis auf die digitale Umgebung fehlerhaft ist und welche wesentlichen Angaben zu den Unterzeichnern nicht korrekt sind, konnte das SEM aus den erwähnten Geheimhaltungs- gründen nicht, wie in der Beschwerde verlangt, bekannt geben. Dies ist für die Ausübung des rechtlichen Gehörs auch nicht unabdingbar. Dem Ge- richt liegt die Analyse integral vor und es kann bestätigen, dass die Prüfung sachgerecht und korrekt durchgeführt worden ist. Aufgrund zahlreicher ähnlich gelagerter Verfahren liegt dem SEM eine grosse Menge an Ver- gleichsmaterial türkischer Amtsdokumente vor, wobei kein Anspruch be- steht, dass das konkrete verwendete Vergleichsmaterial offengelegt wird (vgl. Urteile des Bundesverwaltungsgerichts E-1308/2023 vom 19. März 2024, E. 4.3.1 und D-4041/2023 vom 18. Januar 2024, E. 5.2). Verschie- dene Fälschungsmerkmale konnten denn auch durch das Gericht über öf- fentliche Quellen geprüft werden. Das Gericht geht nach dem Gesagten insgesamt von gefälschten Dokumenten aus, mit welchen der Beschwer- deführer zuerst auf vorinstanzlicher Ebene und nun auch auf Beschwerde- ebene, überdies unter Einreichung eines weiteren vor dem Hintergrund bis- heriger Erwägungen wohl auch gefälschten Gerichtsdokuments, die schweizerischen Behörden und das Gericht zu täuschen versucht. Das</w:t>
      </w:r>
    </w:p>
    <w:p>
      <w:r>
        <w:t>D-5587/2023 Seite 10 entsprechende Bestätigungsschreiben des Anwaltes wurde vom SEM zu Recht als von geringem Beweiswert qualifiziert. Es vermag vor dem Hin- tergrund der diversen eingereichten gefälschten Beweismittel in der Sache nichts zu ändern. Angesichts der klaren Aktenlage trifft dies auch auf den eingereichten UYAP-Auszug zu sowie auf das soeben erwähnte auf Be- schwerdeebene eingereichte Verhandlungsprotokoll vom (…) Dezember 2023. Bezeichnenderweise konnte der Beschwerdeführer denn während der Anhörung auch keine substantiellen Aussagen zu seinen Aktivitäten auf den sozialen Medien, den ihm vorgeworfenen Straftaten und zum Verlauf des Verfahrens beziehungsweise zur Gerichtsverhandlung oder den ein- gereichten Gerichtsdokumenten machen.</w:t>
      </w:r>
    </w:p>
    <w:p>
      <w:r>
        <w:rPr>
          <w:b/>
        </w:rPr>
        <w:t>E. 5.5</w:t>
      </w:r>
    </w:p>
    <w:p>
      <w:r>
        <w:t>Nach dem Gesagten hat das SEM die Vorbringen des Beschwerdefüh- rers zu Recht als unglaubhaft beziehungsweise nicht asylrelevant qualifi- ziert. Die Verneinung der Flüchtlingseigenschaft und die Ablehnung des Asylgesuchs sind daher zu bestätigen.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w:t>
      </w:r>
    </w:p>
    <w:p>
      <w:r>
        <w:t>D-5587/2023 Seite 11 entgegenstehen. Auf die überzeugenden entsprechenden Erwägungen kann vollumfänglich verwiesen werden, nachdem diesen in der Be- schwerde denn auch nichts entgegengehalten wird. Der Vollzug der Weg- weisung erweist sich damit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3. November 2023 das Gesuch um Gewährung der unentgelt- lichen Prozessführung im Sinne von Art. 65 Abs. 1 VwVG gutgeheissen worden ist, sind ihm keine Verfahrenskosten aufzuerlegen.</w:t>
      </w:r>
    </w:p>
    <w:p>
      <w:r>
        <w:rPr>
          <w:b/>
        </w:rPr>
        <w:t>E. 9.2</w:t>
      </w:r>
    </w:p>
    <w:p>
      <w:r>
        <w:t>Der rubrizierte Rechtsvertreter wurde dem Beschwerdeführer mit der- selben Verfügung als amtlicher Rechtsbeistand beigeordnet. Er ist für</w:t>
      </w:r>
    </w:p>
    <w:p>
      <w:r>
        <w:t>D-5587/2023 Seite 12 seinen Aufwand unbesehen des Ausgangs des Verfahrens zu entschädi- gen, soweit dieser sachlich notwendig war (vgl. Art. 65 Abs. 5 VwVG und Art. 12 i.V.m. Art. 8 Abs. 2 VGKE). Der Rechtsvertreter reichte im Verfah- ren eine Honorarnote ein, in welcher ein Aufwand von 5.25 Stunden und Auslagen in Höhe von Fr. 110.75 geltend gemacht werden, was angemes- sen erscheint. Der Stundenansatz ist – nachdem der Rechtsvertreter über ein Anwaltspatent verfügt, aber in einer Beratungsstelle tätig ist – auf Fr. 200.– festzusetzen. Das amtliche Honorar ist danach auf gerundet Fr. 1161.– (inklusive Auslagen) festzusetzen und dem rubrizierten Rechts- vertreter als amtlicher Rechtsbeistand aus der Gerichtskasse zu entrich- ten.</w:t>
      </w:r>
    </w:p>
    <w:p>
      <w:r>
        <w:t>(Dispositiv nächste Seite)</w:t>
      </w:r>
    </w:p>
    <w:p>
      <w:r>
        <w:t>D-5587/2023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