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D-5586/2018 vom 24. Oktober 2018</w:t>
      </w:r>
    </w:p>
    <w:p>
      <w:r>
        <w:t>Bundesverwaltungsgericht, 2018-10-24, DE</w:t>
      </w:r>
    </w:p>
    <w:p>
      <w:r>
        <w:rPr>
          <w:b/>
        </w:rPr>
        <w:t xml:space="preserve">Quelle: </w:t>
      </w:r>
      <w:r>
        <w:t>https://mcp.opencaselaw.ch/entscheid/bvger_D-5586_2018</w:t>
      </w:r>
    </w:p>
    <w:p>
      <w:r>
        <w:t>FR: TAF D-5586/2018 du 24 octobre 2018</w:t>
      </w:r>
    </w:p>
    <w:p>
      <w:r>
        <w:t>IT: TAF D-5586/2018 del 24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frist- und formgerecht eingereichte Beschwerde ist somit, mit Ausnahme der nachfolgenden Ausführungen, einzutreten (Art. 105 und 108 Abs. 1 AsylG, Art. 107 Abs. 1 AsylG sowie Art. 52 Abs. 1 VwVG).</w:t>
      </w:r>
    </w:p>
    <w:p>
      <w:r>
        <w:rPr>
          <w:b/>
        </w:rPr>
        <w:t>E. 1.4</w:t>
      </w:r>
    </w:p>
    <w:p>
      <w:r>
        <w:t>Auf den Antrag auf Mitteilung betreffend die Bildung des Spruchkörpers ist nicht einzutreten (vgl. Teilurteil des BVGer D-1549/2017 vom 2. Mai 2018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Spruchkörpers ist mit vorliegendem Urteil gegenstandslos geworden.</w:t>
      </w:r>
    </w:p>
    <w:p>
      <w:r>
        <w:rPr>
          <w:b/>
        </w:rPr>
        <w:t>E. 5</w:t>
      </w:r>
    </w:p>
    <w:p>
      <w:r>
        <w:t>Der Beschwerdeführer beantragt, das Bundesgericht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6</w:t>
      </w:r>
    </w:p>
    <w:p>
      <w:r>
        <w:t>Der Beschwerdeführer beantragt die Sistierung des Verfahrens in Bezug auf die Beurteilung der Flüchtlingseigenschaft, des Asylpunkts sowie der Wegweisung (vgl. Begehren Ziff. 1). Das vorliegende Verfahren betreffe nicht nur asylrechtliche, sondern auch datenschutzrechtliche Fragen. Diese seien vorab zu beurteilen. Zudem sei zu klären, ob die Abteilung I des Bundesverwaltungsgerichts für die Beurteilung zuständig sei.</w:t>
      </w:r>
    </w:p>
    <w:p>
      <w:r>
        <w:rPr>
          <w:b/>
        </w:rPr>
        <w:t>E. 6.1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17. Juli 2018 um Einsicht in die Vollzugsakten. Folglich sind die Asylabteilungen zuständig für die Behandlung der Fragen im Zusammenhang mit der Weitergabe von Personendaten (Art. 97 AsylG) und es gelangt das VwVG zur Anwendung (vgl. Urteil A-5275/2015 E. 8.4.1 f.).</w:t>
      </w:r>
    </w:p>
    <w:p>
      <w:r>
        <w:rPr>
          <w:b/>
        </w:rPr>
        <w:t>E. 6.2</w:t>
      </w:r>
    </w:p>
    <w:p>
      <w:r>
        <w:t>Der Antrag auf Sistierung des Verfahrens zur Vorabklärung datenschutzrechtlicher Fragen ist daher abzuweisen.</w:t>
      </w:r>
    </w:p>
    <w:p>
      <w:r>
        <w:rPr>
          <w:b/>
        </w:rPr>
        <w:t>E. 7</w:t>
      </w:r>
    </w:p>
    <w:p>
      <w:r>
        <w:t>In der Beschwerdeschrift werden der Vorinstanz Verletzungen des rechtlichen Gehörs, der Begründungspflicht,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8.1</w:t>
      </w:r>
    </w:p>
    <w:p>
      <w:r>
        <w:t>Der Beschwerdeführer rügt, die Vorinstanz habe die Begründungspflicht verletzt, indem sie sich hinsichtlich der Umstände der Ersatzreisepapierbeschaffung auf objektiv falsche Erwägungen gestützt und in Bezug auf den zu erwartenden Background Check durch die sri-lankischen Behörden sowie die LTTE-Verbindungen des Beschwerdeführers zentrale Vorbringen nicht gewürdigt habe. Dem kann nicht gefolgt werden. Die Vorinstanz hat sich im angefochtenen Entscheid mit den wesentlichen Vorbringen des Beschwerdeführers in hinreichendem Umfang und genügender Differenziertheit auseinandergesetzt und in nachvollziehbarer Weise darlegt, aufgrund welcher Überlegungen sie zum Schluss kam, dass in Bezug auf die von ihm geltend gemachte Furcht vor Verfolgung durch die heimatlichen Behörden keine seit dem Abschluss des ersten Asylverfahrens wesentlich veränderte Situation vorliege. Es ist daran zu erinnern, dass die vom Beschwerdeführer vorgebrachten Verbindungen zu den LTTE bereits Gegenstand des vorangegangenen Asylverfahrens waren. Insgesamt ist die vorinstanzliche Verfügung so abgefasst, dass sich der Beschwerdeführer über die Tragweite des Entscheids ein Bild machen konnte; es war ihm denn auch ohne weiteres möglich, die vorinstanzliche Verfügung in materieller Hinsicht sachgerecht anzufechten.</w:t>
      </w:r>
    </w:p>
    <w:p>
      <w:r>
        <w:rPr>
          <w:b/>
        </w:rPr>
        <w:t>E. 8.2.1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8.2.2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w:t>
      </w:r>
    </w:p>
    <w:p>
      <w:r>
        <w:rPr>
          <w:b/>
        </w:rPr>
        <w:t>E. 8.3</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16. Mai 2018 mit dem Urteil D-2906/2016 des BVGer in Rechtskraft erwachsen.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 Damit ist auch der diesbezügliche Beweisantrag abzuweisen.</w:t>
      </w:r>
    </w:p>
    <w:p>
      <w:r>
        <w:rPr>
          <w:b/>
        </w:rPr>
        <w:t>E. 8.4</w:t>
      </w:r>
    </w:p>
    <w:p>
      <w:r>
        <w:t>Unter dem Titel des rechtlichen Gehörs und unter Berufung auf Art. 16 Bst. g Migrationsabkommen sowie Art. 6 und Art. 8 DSG moniert der Beschwerdeführer ferner, die Vorinstanz sei in der angefochtenen Verfügung nicht auf seine Anträge, es sei bei den sri-lankischen Behörden abzuklären, welchen Gebrauch sie von den durch die Schweizer Behörden übermittelten Daten gemacht hätten, welche Ergebnisse damit erzielt worden seien und welche Behörden in Sri Lanka nun Zugang zu den entsprechenden Informationen hätten, und diese Informationen seien ihm offenzulegen, eingegangen oder habe diese mit unzureichender Begründung abgelehnt. Indessen wurden diese Anträge in der angefochtenen Verfügung durchaus gewürdigt und - wie im Folgenden aufzuzeigen sein wird (E. 9) vom SEM zu Recht und mit zutreffender Begründung abgewiesen.</w:t>
      </w:r>
    </w:p>
    <w:p>
      <w:r>
        <w:rPr>
          <w:b/>
        </w:rPr>
        <w:t>E. 8.4.1</w:t>
      </w:r>
    </w:p>
    <w:p>
      <w:r>
        <w:t>Der Beschwerdeführer rügt ferner eine Verletzung des Willkürverbots. Das SEM habe den neu vorgebrachten Sachverhalt als rechtserheblich erachtet, da es auf das Asylgesuch eingetreten sei. Es habe aber diverse Sachverhaltselemente (Tätigkeit für die LTTE im In- und Ausland, familiäre Verbindungen zur LTTE, aktuellste Situation in Sri Lanka, weitere asylrelevante Risikofaktoren) aus formellen Gründen von der Beurteilung, ob genügend Gründe vorliegen, um die ursprüngliche Verfügung in materieller Hinsicht inhaltlich abzuändern, ausgeklammert und diese lediglich anhand erhöhter Anforderungen nur als qualifiziertes Wiedererwägungsgesuch geprüft. So seien sämtliche Asylvorbringen aus seinen vorgängigen Verfahren mit keinem Wort thematisiert worden. Dies verletze neben dem Willkürverbot auch die Begründungspflicht als Teilgehalt des rechtlichen Gehörs (vgl. Beschwerdebegründung S. 25 ff.).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zu Recht differenziert als Mehrfachgesuch respektive zweites Asylgesuch und qualifiziertes Wiedererwägungsgesuch. Bei einer in jeder Hinsicht korrekten Rechtsanwendung ist eine Verletzung des Willkürverbots ausgeschlossen. Eine in diesem Zusammenhang erfolgte Verletzung der Prüfungs- und Begründungspflicht ist im Übrigen auch nicht ersichtlich (vgl. Urteil des BVGer E-4703/2017, E-4705/2017 vom 25. Oktober 2017 E. 2.6).</w:t>
      </w:r>
    </w:p>
    <w:p>
      <w:r>
        <w:rPr>
          <w:b/>
        </w:rPr>
        <w:t>E. 8.5</w:t>
      </w:r>
    </w:p>
    <w:p>
      <w:r>
        <w:t>Weiter moniert der Beschwerdeführer, die Vorinstanz habe den Sachverhalt unvollständig beziehungsweise nicht richtig festgestellt. Die Vorinstanz hat sich im Sachverhalt und in den Erwägungen mit den eingereichten Beweismitteln sowie den vom Beschwerdeführer vorgebrachten neuen Sachverhaltselementen - soweit diese Gegenstand des vorliegenden zweiten Asylverfahrens sind umfassend auseinandergesetzt und diese korrekt gewürdigt. Entgegen der Auffassung des Beschwerdeführers bestehen keine stichhaltigen Gründe, von einem unkorrekt erfassten Sachverhalt in Bezug auf das individuelle Profil des Beschwerdeführers respektive die allgemeine Menschenrechtsituation in seinem Heimatstaat auszugehen. Insbesondere erweist sich die Rüge, die Feststellungen der Vorinstanz betreffend die Ersatzreisepapierbeschaffung seien aktenwidrig, als unbegründet (vgl. Ziff. 9.2). Im Weiteren ist daran zu erinnern, dass die vom Beschwerdeführer geltend gemachte Verbindung zu den LTTE bereits im vorangegangenen Verfahren sowohl durch die Vorinstanz als auch das Gericht umfassend gewürdigt wurde. Prüfungsgegenstand eines zweiten Asylverfahrens können nur neue Sachverhaltselemente sein, die sich nach dem Abschluss des ersten Asylverfahrens ereignet haben; Umstände, die bereits Gegenstand des vorangegangenen Verfahrens waren, müssen nicht erneut überprüft werden.</w:t>
      </w:r>
    </w:p>
    <w:p>
      <w:r>
        <w:rPr>
          <w:b/>
        </w:rPr>
        <w:t>E. 8.6</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9.1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übermittelt.</w:t>
      </w:r>
    </w:p>
    <w:p>
      <w:r>
        <w:rPr>
          <w:b/>
        </w:rPr>
        <w:t>E. 9.2</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2017/VI/6 E. 2.5). Auch eine Verletzung von Art. 6 DSG ist zu verneinen, da das Asylgesetz die Bekanntgabe von Personendaten an den Heimat- oder Herkunftsstaat in Art. 97 AsylG spezialgesetzlich regelt und Art. 6 DSG damit vorgeht (vgl. Urteile des BVGer D-5100/2017 vom 12. April 2018 E. 5.2 und E-4293/2018 vom 8. August 2018 E. 8). Demzufolge ist der Antrag des Beschwerdeführers auf Feststellung der Widerrechtlichkeit der Übermittlung seiner Personendaten an die sri-lankischen Behörden abzuweisen.</w:t>
      </w:r>
    </w:p>
    <w:p>
      <w:r>
        <w:rPr>
          <w:b/>
        </w:rPr>
        <w:t>E. 9.3</w:t>
      </w:r>
    </w:p>
    <w:p>
      <w:r>
        <w:t>Aus diesen Feststellungen ergibt sich ferner, dass die Frage, inwiefern die sri-lankische Gesetzgebung dem schweizerischen Datenschutzniveau entspricht, für vorliegendes Verfahren offen bleiben kann. Der Beweisantrag des Beschwerdeführers, das SEM sei anzuweisen darzulegen, inwiefern die sri-lankische Gesetzgebung im Bereich Datenschutzgesetz dem Schweizer Schutzniveau entsprechen und ob in diesem Zusammenhang die ihn betreffenden und an die sri-lankischen Behörden überwiesenen Daten im Sinne des entsprechenden schweizerischen Schutzniveaus behandelt würden (vgl. Beweisantrag Ziff. 7.2), ist abzuweisen.</w:t>
      </w:r>
    </w:p>
    <w:p>
      <w:r>
        <w:rPr>
          <w:b/>
        </w:rPr>
        <w:t>E. 9.4</w:t>
      </w:r>
    </w:p>
    <w:p>
      <w:r>
        <w:t>Ebenso abzuweisen ist der Antrag, die Vorinstanz sei aufzufordern, sämtliche vorhandene Akten offenzulegen, welche von den schweizerischen und den sri-lankischen Behörden im Zusammenhang mit der Ersatzreisepapierbeschaffung angelegt worden seien (vgl. Beweisantrag Ziff. 7.1). Mit Verfügung des SEM vom 20. Juli 2018 wurden dem Beschwerdeführer alle Aktenstücke der Vollzugsakten im Sinne von Art. 27 VwVG offen gelegt. Er beanstandet diese Offenlegung der Vollzugsakten des SEM nicht und es ist nicht ersichtlich, inwiefern diese Offenlegung nicht rechtskonform wäre. Dem Akteneinsichtsrecht wurde damit Genüge getan.</w:t>
      </w:r>
    </w:p>
    <w:p>
      <w:r>
        <w:rPr>
          <w:b/>
        </w:rPr>
        <w:t>E. 9.5</w:t>
      </w:r>
    </w:p>
    <w:p>
      <w:r>
        <w:t>Schliesslich führte die Vorinstanz zutreffend aus,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entgegen der Auffassung des Beschwerdeführers auch nicht aus Art. 6 DSG in Verbindung mit Art. 8 DSG abgeleitet werden. Die Vorinstanz hat mit der Offenlegung der Vollzugsakten dem Auskunftsrecht gemäss Art. 8 DSG Genüge getan. Ein allfälliges Gesuch um Einsicht in die Akten der sri-lankischen Behörden wäre vom Beschwerdeführer vielmehr direkt an die Behörden seines Heimatstaats zu richten, wobei das Auskunftsrecht der betroffenen Person in Art. 16 Bst. j des Migrationsabkommens ausdrücklich geregelt ist (vgl. BVGE 2017 VI/6 E. 2.4.3). Eine Verletzung des rechtlichen Gehörs ist zu verneinen.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ist ebenfalls abzuweisen (vgl. Urteil des BVGer D-1042/2018 E. 7.2.2).</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Die Vorinstanz lehnte das Folgeasylgesuch des Beschwerdeführers mit der Begründung ab, bei der Beantragung um Ausstellung eines sri-lankischen Ersatzreisepapiers handle es sich um ein standardisiertes und langjährig bewährtes Verfahren, welches seit dem 24. Dezember 2016 zusätzlich durch das Migrationsabkommen geregelt sei. Dabei würden die Datenschutzbestimmungen nach Art. 97 AsylG und Art. 106 AuG vollumfänglich eingehalten. Weder aus Art. 97 Abs. 3 AsylG noch bei Art. 16 Bst. c des Migrationsabkommens handle es sich um eine abschliessende Aufzählung von Daten. Neue Gefährdungselemente würden durch die Übermittlung von Daten im gesetzlich vorgesehenen Rahmen nicht geschaffen. Das Vorliegen einer begründeten Furcht vor Verfolgungsmassnahmen wegen der Ersatzreisepapierbeschaffung sei somit zu verneinen.</w:t>
      </w:r>
    </w:p>
    <w:p>
      <w:r>
        <w:rPr>
          <w:b/>
        </w:rPr>
        <w:t>E. 11.2</w:t>
      </w:r>
    </w:p>
    <w:p>
      <w:r>
        <w:t>Der Beschwerdeführer verwies in seiner Beschwerdeschrift in materieller Hinsicht im Wesentlichen auf die bereits im zweiten Asylgesuch vom 17. Juli 2018 vorgebrachten Umstände, aufgrund welchen im heutigen Zeitpunkt von einer ihm drohenden asylrelevanten Verfolgung durch die sri-lankischen Behörden auszugehen sei. Namentlich ergebe sich eine erhöhte Gefährdung durch die von der Vorinstanz im Rahmen der Ersatzreisepapierbeschaffung an die sri-lankischen Konsularbehörden übermittelten Informationen. Im Übrigen habe sich mit dem Urteil des Gerichts in Vavuniya vom Juli 2017 gezeigt, dass nicht nur Personen von einer Verfolgung bedroht seien, welche sich für das Wiederaufleben des tamilischen Separatismus einsetzen würden.</w:t>
      </w:r>
    </w:p>
    <w:p>
      <w:r>
        <w:rPr>
          <w:b/>
        </w:rPr>
        <w:t>E. 11.3</w:t>
      </w:r>
    </w:p>
    <w:p>
      <w:r>
        <w:t>Sowohl das SEM in seiner Verfügung vom 5. April 2016 als auch das Bundesverwaltungsgericht in seinem Urteil D-2906/2016 vom 16. Mai 2018 setzten sich ausführlich mit dem Vorbringen des Beschwerdeführers, aufgrund seiner Unterstützung der LTTE durch die sri-lankischen Behörden verfolgt worden zu sein, auseinander, und erachteten dieses als unglaubhaft. Das Bundesverwaltungsgericht ging in seinem Urteil D-2906/2016 zwar im Gegensatz zur Einschätzung der Vorinstanz in ihrer Verfügung vom 5. April 2016 davon aus, dass die Unterstützungsleistungen des Beschwerdeführers in den Jahren 2006 und 2007 glaubhaft seien. Auch erachtete es die Befragung des Beschwerdeführers zu seinem (nunmehr in der Schweiz befindlichen) Bruder im Rahmen eines Round-up im Jahr 2009 als glaubhaft, indessen mangels Intensität als nicht asylbeachtlich, zumal es für ihn keinerlei weitere Konsequenzen zur Folge gehabt habe. Demgegenüber hielt es das Bundesverwaltungsgericht klarerweise für unglaubhaft, dass der Beschwerdeführer von den heimatlichen Behörden wegen seiner früheren Unterstützungstätigkeiten zugunsten der LTTE jemals (und insbesondere auch kurz vor seiner Ausreise im Herbst 2014) behördlich gesucht worden sei, weshalb angenommen werden müsse, dass die heimatlichen Behörden um seine früheren Tätigkeiten nicht wüssten. Die exilpolitischen Aktivitäten des Beschwerdeführers stuften sowohl das SEM als auch das Gericht als niederschwellig ein. Ferner kamen sie unter Berücksichtigung der im Referenzurteil BVGer E-1866/2015 festgelegten Risikofaktoren zum Schluss, dass er kein Profil aufweise, aufgrund dessen er bei einer Wiedereinreise in Sri Lanka mit asylrelevanten Verfolgungsmassnahmen durch die sri-lankischen Behörden zu rechnen habe, mithin keine über den üblichen so genannten "Backgroundcheck" hinausgehende Massnahmen zu befürchten habe. Die Vorinstanz ist vorliegend zu Recht davon ausgegangen, dass keine relevanten Hinweise für eine Änderung der Einschätzung des Risikoprofils vorliegen, die geeignet wären, die Ausführungen im Asylentscheid des SEM vom 5. April 2016 und diejenigen des Bundesverwaltungsgerichts in seinem Urteil D-2906/2016 vom 16. Mai 2018 umzustossen beziehungsweise zu einem für den Beschwerdeführer günstigeren Ergebnis zu führen. Diesbezüglich kann zur Vermeidung von Wiederholungen vollumfänglich auf die vorinstanzlichen Ausführungen verwiesen werden.</w:t>
      </w:r>
    </w:p>
    <w:p>
      <w:r>
        <w:rPr>
          <w:b/>
        </w:rPr>
        <w:t>E. 11.4</w:t>
      </w:r>
    </w:p>
    <w:p>
      <w:r>
        <w:t>Das Bundesverwaltungsgericht hat sich in BVGE 2017 VI/6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Auch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11.5</w:t>
      </w:r>
    </w:p>
    <w:p>
      <w:r>
        <w:t>Auch unter Berücksichtigung der weiteren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 Gesamtprofil aufweist, das nahelegen würde, dass er ins Visier der sri-lankischen Behörden geraten könnte und diese ein potenzielles Verfolgungsinteresse an ihm haben könnten.</w:t>
      </w:r>
    </w:p>
    <w:p>
      <w:r>
        <w:rPr>
          <w:b/>
        </w:rPr>
        <w:t>E. 11.6</w:t>
      </w:r>
    </w:p>
    <w:p>
      <w:r>
        <w:t>Zusammenfassend ist festzuhalten, dass der Beschwerdeführer weder Vor- noch Nachfluchtgründe nachgewiesen oder zumindest glaubhaft gemacht hat. Das SEM hat ihm daher zu Recht die Flüchtlingseigenschaft nicht zuerkannt und sein zweites Asylgesuch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vorliegend ebenfalls die Unzumutbarkeit des Wegweisungsvollzugs festzustellen sei. Zufolge der Papierbeschaffung über das sri-lankische Konsulat in Genf würden die Behörden bei seiner Rückkehr nach Sri Lanka sofort Kenntnis über seine politische Vergangenheit in Sri Lanka erhalten. Aufgrund seiner LTTE-Verbindungen und der bereits erfolgten Verfolgung bestehe bei den standardisierten Verhören der sri-lankischen Behörden, welchen er sich nicht entziehen könne, eine akute Gefahr für Leib und Leben.</w:t>
      </w:r>
    </w:p>
    <w:p>
      <w:r>
        <w:rPr>
          <w:b/>
        </w:rPr>
        <w:t>E. 13.3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der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13.4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(Urteil D-3619/2016 vom 16. Oktober 2017 E. 9.5). In Bezug auf das Vorliegen individueller Zumutbarkeitskriterien kann vollständig auf das Urteil des Bundesverwaltungsgerichts D-2906/2016 vom 16. Mai 2018, E. 8.4.2 verwiesen werden. Dort wird dargelegt, dass der Beschwerdeführer, welcher aus dem C._______-Distrikt ([...]) stamme, vor Ort über ein tragfähiges Beziehungsnetz verfüge. Er habe Schulbildung und Arbeitserfahrung, weshalb auch davon auszugehen sei, dass er sich in seiner Heimat wirtschaftlich wieder integrieren könne. Der Wegweisungsvollzug ist somit auch in individueller Hinsicht zumutbar.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w:t>
      </w:r>
    </w:p>
    <w:p>
      <w:r>
        <w:t>Bei diesem Ausgang des Verfahrens sind die Kosten dem Beschwerdeführer aufzuerlegen (Art. 63 Abs. 1 VwVG) und zufolge seiner sehr umfangreichen Eingabe auf Beschwerdeebene auf insgesamt Fr. 1'300.- festzusetzen (Art. 1-3 des Reglements vom 21. Februar 2008 über die Kosten und Entschädigungen vor dem Bundesverwaltungsgericht [VGKE, SR 173.320.2]).</w:t>
      </w:r>
    </w:p>
    <w:p>
      <w:r>
        <w:rPr>
          <w:b/>
        </w:rPr>
        <w:t>E. 16</w:t>
      </w:r>
    </w:p>
    <w:p>
      <w:r>
        <w:t>Der Rechtsvertreter des Beschwerdeführers stellte in der vorliegenden Beschwerdeschrift vom 1. Oktober 2018 erneut Rechtsbegehren, über welche bereits mehrfach befunden worden ist (vorliegend Offenlegung der Quellen des Länderberichts des SEM vom 16. August 2016 zu Sri Lanka, Bestätigung der Zufälligkeit beziehungsweise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