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D-5577/2006 vom 27. Mai 2009</w:t>
      </w:r>
    </w:p>
    <w:p>
      <w:r>
        <w:t>Bundesverwaltungsgericht, 2009-05-27, DE</w:t>
      </w:r>
    </w:p>
    <w:p>
      <w:r>
        <w:rPr>
          <w:b/>
        </w:rPr>
        <w:t xml:space="preserve">Quelle: </w:t>
      </w:r>
      <w:r>
        <w:t>https://mcp.opencaselaw.ch/entscheid/bvger_D-5577_2006</w:t>
      </w:r>
    </w:p>
    <w:p>
      <w:r>
        <w:t>FR: TAF D-5577/2006 du 27 mai 2009</w:t>
      </w:r>
    </w:p>
    <w:p>
      <w:r>
        <w:t>IT: TAF D-5577/2006 del 27 maggio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Beschwerdeführenden sind durch die angefochtene Verfügung besonders berührt und haben ein schutzwürdiges Interesse an deren Aufhebung beziehungsweise Änderung. Die Beschwerdeführenden sind daher zur Einreichung der Beschwerde legitimiert (Art. 6 AsylG i. V. m. Art. 48 Abs. 1, Art. 50 und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w:t>
      </w:r>
    </w:p>
    <w:p>
      <w:r>
        <w:t>Wie bereits mit Zwischenverfügung vom 24. März 2006 festgestellt, richtet sich die Beschwerde ausschliesslich gegen den angeordneten Vollzug der Wegweisung. Die Ziffern 1 (Verneinung der Flüchtlingseigenschaft) und 2 (Ablehnung des Asylgesuchs) des Dispositivs der Verfügung des BFM vom 27. Januar 2006 sind somit mangels Anfechtung in Rechtskraft erwachsen. Auch die Wegweisung als solche ist nicht mehr zu überprüfen (Ziffer 3 des Verfügungsdispositivs). Gegenstand des vorliegenden Beschwerdeverfahrens bildet somit lediglich die Frage, ob allenfalls wegen Unzulässigkeit, Unzumutbarkeit oder Unmöglichkeit des Vollzugs der Wegweisung die vorläufige Aufnahme anzuordnen ist (Art. 44 AsylG i. V. m. Art. 83 Abs. 4 des Bundesgesetzes vom 16. Dezember 2005 über die Ausländerinnen und Ausländer [AuG, SR 142.20]).</w:t>
      </w:r>
    </w:p>
    <w:p>
      <w:r>
        <w:rPr>
          <w:b/>
        </w:rPr>
        <w:t>E. 3</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4.1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4.2</w:t>
      </w:r>
    </w:p>
    <w:p>
      <w:r>
        <w:t>Der Grundsatz der Nichtrückschiebung schützt nur Personen, die die Flüchtlingseigenschaft erfüllen. Da rechtskräftig feststeht, dass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nach Kosovo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Entscheidungen und Mitteilungen der Schweizerischen Asylrekurskommission [EMARK] 2001 Nr. 16 E. 6.a S. 122, mit weiteren Hinweisen; EGMR, Bensaid gegen Grossbritannien, Urteil vom 6. Februar 2001, Recueil des arrêts et décisions 2001-I, S. 327 ff.). Aufgrund der Akten ist indessen nicht davon auszugehen, dass ihnen im Fall einer Rückkehr nach Kosovo eine derartige Gefahr droht, welche den Wegweisungsvollzug als unzulässig erscheinen lassen würde. Insbesondere hat sich der Kosovo, dessen Unabhängigkeitserklärung vom 17. Februar 2008 von der Schweiz am 27. Februar 2008 anerkannt wurde, dazu verpflichtet, sämtliche Verträge und Absprachen vollumfänglich zu erfüllen, die sich aus dem "Umfassenden Vorschlag zur Regelung des Kosovostatus" des Sondergesandten des UNO-Generalsekretärs für den Prozess zur Bestimmung des künftigen Status des Kosovo ergeben. Es sind deshalb keine erheblichen Hinweise auf ein landes- oder völkerrechtlich abgestütztes spezifisches Schutzbedürfnis der Beschwerdeführenden ersichtlich. Mit Bundesratsbeschluss vom 6. März 2009 hat der Bundesrat Serbien und Kosovo als verfolgungssichere Staaten ("Safe Countries") bezeichnet. Dieser Beschluss trat am 1. April 2009 in Kraft. Massgebliche Kriterien für die Bezeichnung eines Staates als "Safe Country" sind insbesondere die Einhaltung der Menschenrechte sowie die Anwendung internationaler Konventionen im Menschenrechts- und Flüchtlingsbereich.</w:t>
      </w:r>
    </w:p>
    <w:p>
      <w:r>
        <w:rPr>
          <w:b/>
        </w:rPr>
        <w:t>E. 4.3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4.3.1</w:t>
      </w:r>
    </w:p>
    <w:p>
      <w:r>
        <w:t>Die Asylbehörden beobachten die Lage der Minderheiten im Kosovo laufend und einlässlich. Gemäss EMARK 2005 Nr. 9 erachtete die ARK die Rückkehr für Angehörige der Minderheiten in den Kosovo infolge der gewalttätigen Ereignisse vom März 2004 - von einigen Ausnahmen abgesehen - als nicht zumutbar. Die Situation konnte sich jedoch in der Folge dank verstärktem Einsatz der internationalen Truppen wieder beruhigen. Angesichts der jüngeren Entwicklung im Kosovo, namentlich einer Verbesserung der allgemeinen Lage der Angehörigen von ethnischen Minderheiten, nahm die ARK in EMARK 2006 Nr. 10 eine neue Einschätzung vor und kam zum Schluss, dass der Vollzug der Wegweisung von albanischsprachigen Roma, Ashkali und Ägyptern in den Kosovo grundsätzlich zumutbar sei, sofern aufgrund einer Einzelfallabklärung (insbesondere durch Untersuchungen vor Ort) bestimmte Reintegrationskriterien wie die berufliche Ausbildung, der Gesundheitszustand, das Alter, die Frage nach einer ausreichenden wirtschaftlichen Lebensgrundlage und das Bestehen eines Beziehungsnetzes im Kosovo, erfüllt seien (EMARK 2006 Nr. 10 E. 5.4 S. 107 f.). An dieser Einschätzung hat sich bisher nichts geändert, weshalb sich das Bundesverwaltungsgericht der in EMARK 2006 Nr. 10 festgehaltenen Praxis anschloss (vgl. Bundesverwaltungsgerichtsentscheid [BVGE] 2007/10 E. 5.3 ff. S. 111 ff.).</w:t>
      </w:r>
    </w:p>
    <w:p>
      <w:r>
        <w:rPr>
          <w:b/>
        </w:rPr>
        <w:t>E. 4.3.2</w:t>
      </w:r>
    </w:p>
    <w:p>
      <w:r>
        <w:t>Die Vorinstanz führte im vorliegenden Fall erst auf Beschwerdeebene Abklärungen vor Ort, wie sie in EMARK 2006 Nr. 10 postuliert wurden, durch. Auf Beschwerdeebene wurde dies festgestellt, nicht aber explizit gerügt. In Anbetracht der nachgeholten Abklärungen, verbunden mit dem Schriftenwechsel, rechtfertigt es sich vorliegend, von der Heilung des erwähnten Verfahrensmangels auszugehen. Eine solche Einzelfallabklärung wurde vorliegend via das Verbindungsbüro in L._______ durchgeführt. Dessen Abklärungsergebnis und die Würdigung durch das BFM zeichnen sich durch Einlässlichkeit und Ausgewogenheit aus. Die Erkenntnis einer zwar mit Schwierigkeiten verbundenen, aber gesamthaft durchaus überwiegenden Zumutbarkeit eines Wegweisungsvollzuges in den Kosovo ist zu bestätigen. Die Zumutbarkeitsfrage ist in einer gesamtheitlichen Betrachtung sämtlicher positiven und negativen Aspekte zu beantworten. Dieser Untersuchungs- und Abwägungspflicht ist das BFM nachgekommen. Sodann ist festzustellen, dass die Unzumutbarkeit eines Wegweisungsvollzuges nicht bereits dann vorliegt, wenn eine Weiterführung des im Gastland gewohnten Lebensstandards im Heimat- respektive Herkunftsstaat nicht mehr gewährleistet ist, sondern erst dann, wenn eine konkrete Gefährdung der Beschwerdeführenden im Sinne einer eigentlichen existenziellen Notlage anzunehmen ist. Eine solche ist vorliegend aufgrund der persönlichen Situation der Beschwerdeführenden und der allgemeinen Situation im Kosovo zu verneinen. Die von den Beschwerdeführenden geltend gemachten gesundheitlichen Probleme sind nicht dergestalt, dass eine Behandlung in Kosovo nicht möglich wäre. Im Übrigen haben die Beschwerdeführenden ihre gesundheitlichen Probleme auch nie als Wegweisungshindernis deklariert, weshalb sich an dieser Stelle weitere diesbezüglich Erörterungen erübrigen. Grundsätzlich ist nicht zu verkennen, dass die Beschwerdeführenden bei einer Rückkehr mit Reintegrationsschwierigkeiten konfrontiert sein könnten. Der Umstand hingegen, dass der Beschwerdeführer und seine Familie bis im Jahre 1998 in Kosovo gelebt haben und dort mit einiger Wahrscheinlichkeit auch über Bekannte verfügen dürften, lässt dieses Erschwernis in den Hintergrund treten. So verfügt der Familienverband des Beschwerdeführers in H._______ über drei Häuser, von denen sich zumindest zwei, auch wenn sie noch nicht fertig gebaut sind, in einem guten Zustand befinden. Bei dieser Sachlage können die Beschwerdeführenden bei der Vorinstanz Rückkehrhilfe zwecks Fertigstellung eines der Häuser beantragen. Die Vorinstanz ist in diesem Zusammenhang anzuweisen, auf Gesuch hin in Zusammenarbeit mit den vor Ort operierenden Hilfsorganisationen für die Fertigstellung eines Wohnhauses auf dem besagten Grundstück behilflich zu sein. Da nach Angaben der Beschwerdeführenden keine näheren Verwandten mehr in ihrem Dorf wohnen und somit nicht mit einer Auseinandersetzung um das Wohnhaus zu rechnen ist, kann die Eigentumsfrage offen bleiben, welche letztendlich durch die zuständigen kosovarischen Behörden zu entscheiden sein wird. Hingegen ist die Ausreisefrist mit der Fertigstellung des Wohnhauses zu koordinieren.</w:t>
      </w:r>
    </w:p>
    <w:p>
      <w:r>
        <w:rPr>
          <w:b/>
        </w:rPr>
        <w:t>E. 4.3.3</w:t>
      </w:r>
    </w:p>
    <w:p>
      <w:r>
        <w:t>Das Bundesverwaltungsgericht verkennt nicht, dass die Lebensbedingungen in Kosovo mit dem allgemein in der Schweiz üblichen Lebensstandart nicht zu vergleichen sind. Der Mangel an Heizmaterial, ausreichendem Wohnraum, Bekleidung und anderem trifft jedoch die gesamte Bevölkerung ungeachtet ihrer Ethnie und ist charakteristisch für die im Heimatland der Beschwerdeführenden herrschende Nachkriegssituation. An dieser Stelle ist jedoch ausdrücklich darauf hinzuweisen, dass schwierige Lebensumstände für sich allein gemäss konstanter Schweizer Asylpraxis keinen Asylgrund darstellen. Im Heimatdorf der Beschwerdeführenden in Kosovo (H._______) leben in der Nähe ihres Grundstückes verschiedene Minderheitsangehörige (Roma, Ashkali, Bosniaken). Gemäss Botschaftsbericht handelt es sich dabei um fünf Roma-Familien, 40 Ashkali- beziehungsweise Ägypter-Familien und Bosniaken (A35/2). Somit besteht insbesondere in Bezug auf andere Angehörige der Ethnie der Roma ein zwar kleines, aber als ausreichend zu qualifizierendes soziales Beziehungsnetz, welches die Wiedereingliederung der Beschwerdeführenden in das Heimatdorf erleichtern wird.</w:t>
      </w:r>
    </w:p>
    <w:p>
      <w:r>
        <w:rPr>
          <w:b/>
        </w:rPr>
        <w:t>E. 4.3.4</w:t>
      </w:r>
    </w:p>
    <w:p>
      <w:r>
        <w:t>Auch steht der Beschwerdeführer mit einem Alter von 48 Jahren noch lange im Erwerbsleben. Zudem war es ihm eigenen Angaben zufolge möglich, bis zum Krieg durch Anstellungen in der Landwirtschaft ein Auskommen für sich und seine Familie zu finden (vgl. A1/ S. 2). Damit kann davon ausgegangen werden, dass der Beschwerdeführer in Kosovo innert nützlicher Frist wiederum eine Erwerbstätigkeit finden wird. Auch eine Unterstützung durch Verwandte aus dem Ausland erscheint als möglich, zumal der Beschwerdeführer eigenen Angaben zufolge bereits vor seiner Ausreise (nachdem er seine Tätigkeit in der Landwirtschaft aufgegeben hatte) von verschiedenen Verwandten in Kosovo, aber auch im Ausland finanziell unterstützt worden ist (vgl. a.a.O.). Festzuhalten ist im Übrigen, dass sich die Beschwerdeführenden im Bedarfsfall nach wie vor an die zahlreichen nationalen, internationalen und nichtstaatlichen Institutionen und Hilfsorganisationen wenden und Rückkehrhilfe via das BFM beantragen können. Sozialhilfe kann sodann - bei Vorliegen entsprechender Voraussetzungen - bei den rund 30 Zentren des "Ministry of Labour and Social Welfare" bezogen werden. Schliesslich bietet ein Netz verschiedener unabhängiger Ombudspersonen unentgeltlich Hilfe an in Fällen unrechtmässiger Behandlung von Minderheitsangehörigen durch öffentliche Institutionen. Die aktuelle Entwicklung im Kosovo ist geprägt durch das Inkrafttreten der neuen Verfassung am 15. Juni 2008. Diese und die gleichzeitig erlassene Gesetzgebung gewährleisten die Rechte und den Schutz der Minderheiten. Im 120-köpfigen Parlament sollen 20 Mandate für ethnische Minderheiten reserviert sein. Anlässlich der Kosovo-Geberkonferenz vom 11. Juli 2008 sind ferner Zusagen von weit über einer Milliarde Euro für die kommenden vier Jahre gemacht worden. Der Investitionskatalog umfasst als wichtigste Gebiete Energie, Infrastruktur, Bildung/Erziehung, Gesundheit und Landwirtschaft. Die Investitionsschwerpunkte der Gebernation Schweiz liegen bei Umwelt und Energie, Budgethilfe sowie Rechtsstaatlichkeit und Demokratie; die bestehenden Massnahmen für Minderheitenrechte sollen ferner ausgebaut werden. Vor dem Hintergrund des Gesagten ist zum heutigen Zeitpunkt nicht davon auszugehen, dass die Beschwerdeführenden bei einer Rückkehr in den Kosovo einer konkreten Gefährdung ausgesetzt wären.</w:t>
      </w:r>
    </w:p>
    <w:p>
      <w:r>
        <w:rPr>
          <w:b/>
        </w:rPr>
        <w:t>E. 4.3.5</w:t>
      </w:r>
    </w:p>
    <w:p>
      <w:r>
        <w:t>Gemäss konstanter Rechtsprechung der ARK, welche vom Bundesverwaltungsgerichts weitergeführt wird, ist bei der Beurteilung der Zumutbarkeit des Wegweisungsvollzugs der Aspekt des Kindeswohls zu berücksichtigen. Dies ergibt sich nicht zuletzt aus einer völkerrechtskonformen Auslegung des Art. 83 Abs. 4 AuG im Licht von Art. 3 Abs. 2 des Übereinkommens vom 20. November 1989 über die Rechte des Kindes (SR 0.107). Demzufolge sind unter dem Aspekt des Kindswohls sämtliche Umstände einzubeziehen und zu würdigen, die im Hinblick auf eine Wegweisung wesentlich erscheinen (vgl. EMARK 1998 Nr. 13 E. 5e.aa S. 98 f.). Gemäss EMARK 2005 Nr. 6 können erschwerte Reintegrationsmöglichkeiten im Heimatstaat infolge einer fortgeschrittenen Assimilierung des Kindes in der Schweiz zur Feststellung der Unzumutbarkeit des Wegweisungsvollzugs der ganzen Familie führen. Die Verwurzelung der Beschwerdeführenden in der Schweiz ist zwar bei der Beurteilung der Zumutbarkeit einer Rückkehr ins Heimatland lediglich von untergeordneter Bedeutung, sie kann aber eine reziproke Wirkung auf die Frage der Zumutbarkeit der Wegweisungsvollzugs haben, indem eine starke Assimilierung in der Schweiz - und davon ist bei einem längeren Aufenthalt von Kindern auszugehen - mithin eine Entwurzelung im Heimatstaat zur Folge haben kann, welche unter Umständen die Rückkehr dorthin - als unzumutbar erscheinen lässt (vgl. EMARK 1998 Nr. 31 Nr. 31 E. 8c.ccc. S. 260 f.); diese Voraussetzungen sind im vorliegenden Fall offensichtlich nicht gegeben. Vorliegend ist festzustellen, dass die beiden in das Asylgesuch der Eltern eingeschlossenen Töchter der Beschwerdeführenden mit knapp 14 und knapp fünf Jahren in die Schweiz gelangten. Vor allem die ältere Tochter hat demnach die prägenden Jahre als Heranwachsende in ihrem Kulturkreis verbracht, währendem bei der jüngeren Tochter, die in der Schweiz die Schule erst begonnen hat, altersgemäss der Anschluss an die Eltern noch gross ist und diese sowie ihre ältere Schwester ihre wichtigsten Bezugspersonen sein dürften. Demnach liegen für die beiden Töchter keine Wegweisungshindernisse vor, weshalb es den Beschwerdeführenden zuzumuten ist, sich erneut in ihrem angestammten Kulturkreis niederzulassen und sich wiederum eine Existenz aufzubauen. Nach dem Gesagten erweist sich der Vollzug der Wegweisung auch als zumutbar.</w:t>
      </w:r>
    </w:p>
    <w:p>
      <w:r>
        <w:rPr>
          <w:b/>
        </w:rPr>
        <w:t>E. 4.4</w:t>
      </w:r>
    </w:p>
    <w:p>
      <w:r>
        <w:t>Schliesslich obliegt es den Beschwerdeführenden, sich bei der zuständigen Vertretung des Heimatstaates oder Montenegros die für eine Rückkehr notwendigen Reisedokumente zu beschaffen (Art. 8 Abs. 4 AsylG), weshalb der Vollzug der Wegweisung auch als möglich zu bezeichnen ist (Art. 83 Abs. 2 AuG).</w:t>
      </w:r>
    </w:p>
    <w:p>
      <w:r>
        <w:rPr>
          <w:b/>
        </w:rPr>
        <w:t>E. 4.5</w:t>
      </w:r>
    </w:p>
    <w:p>
      <w:r>
        <w:t>Zusammenfassend ergibt sich, dass der von der Vorinstanz verfügte Wegweisungsvollzug in Übereinstimmung mit den zu beachtenden Bestimmungen fällt und zu bestätigen ist. Nach dem Gesagten fällt eine Anordnung der vorläufigen Aufnahme ausser Betracht (Art. 83 Abs. 1-4 AuG).</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Bei diesem Ausgang des Verfahrens sind die Kosten den Beschwerdeführenden aufzuerlegen (Art. 63 Abs. 1 und 5 VwVG) und mit dem am 10. April 2006 geleisteten Kostenvorschuss im Betrag von Fr. 600.--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