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D-5576/2012 vom 10. Dezember 2012</w:t>
      </w:r>
    </w:p>
    <w:p>
      <w:r>
        <w:t>Bundesverwaltungsgericht, 2012-12-10, DE</w:t>
      </w:r>
    </w:p>
    <w:p>
      <w:r>
        <w:rPr>
          <w:b/>
        </w:rPr>
        <w:t xml:space="preserve">Quelle: </w:t>
      </w:r>
      <w:r>
        <w:t>https://mcp.opencaselaw.ch/entscheid/bvger_D-5576_2012</w:t>
      </w:r>
    </w:p>
    <w:p>
      <w:r>
        <w:t>FR: TAF D-5576/2012 du 10 décembre 2012</w:t>
      </w:r>
    </w:p>
    <w:p>
      <w:r>
        <w:t>IT: TAF D-5576/2012 del 10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Amtssprachen des Bundes sind Deutsch, Französisch und Italienisch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6</w:t>
      </w:r>
    </w:p>
    <w:p>
      <w:r>
        <w:t>An dieser Stelle ist zu erwähnen, dass drei der vier Töchter der Beschwerdeführerin im Zeitpunkt der Gesuchseinreichung bei der Botschaft minderjährig waren und das Gesuch der Beschwerdeführerin somit grundsätzlich auch diese drei Töchter miteinschliesst. Das BFM hat die Töchter fälschlicherweise jedoch nicht in die angefochtene Verfügung aufgenommen. Aufgrund des Verfahrensausganges erübrigt sich jedoch eine formelle Aufnahme der Töchter in das vorliegende Verfahren.</w:t>
      </w:r>
    </w:p>
    <w:p>
      <w:r>
        <w:rPr>
          <w:b/>
        </w:rPr>
        <w:t>E. 7.1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w:t>
      </w:r>
    </w:p>
    <w:p>
      <w:r>
        <w:rPr>
          <w:b/>
        </w:rPr>
        <w:t>E. 7.2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S. 362 ff.). Da die Anhörung der Sachverhaltserstellung sowie der Ge­wäh­rung des rechtlichen Gehörs dient (vgl. BVGE a.a.O. E. 5.5 S. 365 f.),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S. 364 f.).</w:t>
      </w:r>
    </w:p>
    <w:p>
      <w:r>
        <w:rPr>
          <w:b/>
        </w:rPr>
        <w:t>E. 7.3</w:t>
      </w:r>
    </w:p>
    <w:p>
      <w:r>
        <w:t>Allerdings kann sich eine Befragung be­ziehungsweise ei­ne schriftliche Sachverhaltsabklärung erübrigen, wenn der Sach­ver­halt bereits aufgrund des eingereichten Asylgesuchs liquide erscheint; der asylsuchenden Person ist aber diesfalls immer­hin im Sinne des rechtlichen Gehörs die Gelegenheit zu geben, sich zu einem abzusehenden negativen Ent­scheid zumindest schriftlich zu äus­sern (vgl. BVGE a.a.O. E. 5.7 S. 367). Schliesslich ist das Bundesamt in je­dem Fall gehalten, das Absehen von einer Befragung in der Ver­fü­gung über das Asylgesuch zu begründen (vgl. BVGE a.a.O. E. 5.6 so­wie 5.7 S. 366 f.).</w:t>
      </w:r>
    </w:p>
    <w:p>
      <w:r>
        <w:rPr>
          <w:b/>
        </w:rPr>
        <w:t>E. 7.4</w:t>
      </w:r>
    </w:p>
    <w:p>
      <w:r>
        <w:t>Die Beschwerdeführerin wurde von der Botschaft nicht persönlich angehört. Dieser Verzicht wurde im Schreiben des BFM vom 25. Juli 2011 damit begründet, dass die Botschaft aufgrund eines begrenzten Personalbestandes sowie fehlender Voraussetzungen im sicherheitstechnischen und räumlichen Bereich zur Durchführung der Befragung nicht in der Lage wäre.</w:t>
      </w:r>
    </w:p>
    <w:p>
      <w:r>
        <w:rPr>
          <w:b/>
        </w:rPr>
        <w:t>E. 7.5</w:t>
      </w:r>
    </w:p>
    <w:p>
      <w:r>
        <w:t>Im vorliegenden Fall ist der Verzicht auf eine persönliche Anhörung der Beschwerdeführerin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Familienangehörigen/Verwandten in Drittstaaten, die Ereignisse, welche zur Ausreise aus Eritrea führten und den Aufenthalt im Sudan. Sie wurden denn auch von der Beschwerdeführerin beantwortet. Nach dem Gesagten ist eine Verletzung des Anspruchs der Beschwerdeführerin auf rechtliches Gehör durch das erwähnte Vorgehen des Bundesamtes zu verneinen; zudem wurde damit der entscheidwesentliche Sachverhalt in genügender Weise und umfassend abgeklärt.</w:t>
      </w:r>
    </w:p>
    <w:p>
      <w:r>
        <w:rPr>
          <w:b/>
        </w:rPr>
        <w:t>E. 8.1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8.2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Entscheid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8.3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Gesamtumstände geboten erscheint, dass es gerade die Schweiz ist, die den angesichts der bestehenden Gefährdung erforderlichen Schutz gewähren soll (vgl. EMARK 2004 Nr. 21 E. 4a S. 139). In diese Gesamtschau sind namentlich die bereits vorstehend unter E. 8.2 erwähnten Kriterien zu berücksichtigen (vgl.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9.1</w:t>
      </w:r>
    </w:p>
    <w:p>
      <w:r>
        <w:t>Die Beschwerdeführerin begründete ihr Gesuch im Wesentlichen damit, dass sie 1977 zusammen mit ihrer Mutter aufgrund der Kriegsgeschehen aus Eritrea nach X._______ in den Sudan geflohen sei. Im Alter von 20 Jahren habe sie einen Sudanesen geheiratet, mit welchem sie vier gemeinsame Kinder (...) habe. Aufgrund dieser Heirat sei sie von ihrer Familie verstossen worden. Eines Tages habe sie erfahren, dass ihr Ehemann eine weitere Ehefrau habe. Daraufhin sei sie zu ihrer Mutter zurückgekehrt und habe sich mit ihr versöhnt. Sie habe zusammen mit ihren vier Kindern und ihrer Mutter in Z._______ gelebt und ihren Lebensunterhalt mit Tee- und Kaffeekochen bestritten. Ihre Mutter sei (...) 2011 in Folge einer Krebserkrankung gestorben. Die Kinder hätten die (christliche) Kultur der Beschwerdeführerin angenommen, was ihrem Ehemann, welcher Moslem sei, sehr missfalle. Die Kinder würden sich vor dem Vater fürchten, und dieser würde der Beschwerdeführerin damit drohen, sie nach Eritrea zu deportieren. Sie könne aber nicht nach Eritrea zurück, da sie dort niemanden kenne, da ihr Vater bereits gestorben sei (...) und sie auch ihre übrigen Verwandten nicht kenne. Schliesslich lebe ihr Cousin (...) in der Schweiz.</w:t>
      </w:r>
    </w:p>
    <w:p>
      <w:r>
        <w:rPr>
          <w:b/>
        </w:rPr>
        <w:t>E. 9.2</w:t>
      </w:r>
    </w:p>
    <w:p>
      <w:r>
        <w:t>Das Bundesamt führte zur Begründung der ablehnenden Verfügung im Wesent­lichen aus, dass den Schilderungen der Beschwerdeführerin keine ernstzunehmenden Schwierigkeiten mit den eritreischen Behörden zu entnehmen seien. Im Übrigen könne der Beschwerdeführerin der Verbleib im Sudan zugemutet werden. Das Leben in Z._______ sei zwar nicht einfach, doch könne im vorliegenden Fall davon ausgegangen werden, dass der Beschwerdeführerin aufgrund ihres langjährigen Aufenthalts sowie ihrer langjährigen Arbeitstätigkeit im Sudan eine zumutbare Existenz möglich sei. Überdies könne sie sich im Sudan auf eine grosse eritreische Diaspora stützen, welche für in Not geratene Landsleute bereitstehe. Schliesslich könne von der Beschwerdeführerin auch erwartet werden, sich beim Amt des Hohen Flüchtlingskommissars der Vereinten Nationen (UNHCR) zu melden, sofern ihre Situation tatsächlich kritisch werde. Gemäss Erkenntnis des BFM sei die Gefahr einer Verschleppung für Personen, die vom UNHCR als Flüchtling registriert seien, äusserst gering. Die Beschwerdeführerin weise zudem kein Profil auf, welches eine konkrete Gefahr für eine Verschleppung nach Eritrea befürchten liesse. Schliesslich vermöge der sich in der Schweiz aufhaltende Cousin der Beschwerdeführerin keinen genügend engen Bezug zur Schweiz zu begründen. Somit verfüge die Beschwerdeführerin über ausreichenden Schutz im Sudan und benötige gemäss Art. 52 Abs. 2 AsylG den zusätzlichen subsidiären Schutz der Schweiz nicht, weshalb es ihr zuzumuten sei, vorderhand weiterhin im Sudan zu bleiben.</w:t>
      </w:r>
    </w:p>
    <w:p>
      <w:r>
        <w:rPr>
          <w:b/>
        </w:rPr>
        <w:t>E. 9.3</w:t>
      </w:r>
    </w:p>
    <w:p>
      <w:r>
        <w:t>Den Erwägungen der Vorinstanz wurde in der Beschwerdeschrift entgegengehalten, dass die Beschwerdeführerin ihr Heimatland während des Unabhängigkeitskampfes nicht unterstützt habe und auch derzeit ihr Heimatland nicht unterstütze, insbesondere die 2%-Abgabe nicht entrichte. Somit sei sie in Eritrea nicht willkommen. Zudem habe sie mit einem Moslem vier gemeinsame Kinder, was in der eritreischen Gesellschaft nicht erlaubt sei. Sie sei auch nicht vom UNHCR registriert, so dass sie nicht vor einer Deportation geschützt sei. Ihr werde von ihrem Ehemann auch damit gedroht, dass er ihr die Kinder wegnehmen und diese zum Islam bekehren werde. Er habe die ältere Tochter entgegen ihren Willen zur Heirat mit einem muslimischen Sudanesen gezwungen. Die jüngere Tochter habe er verprügelt, als er sie beim Lesen der Bibel gesehen habe. Als Beweismittel wurde die Heiratsurkunde der einen Tochter sowie Bilder der Verletzungen der anderen Tochter eingereicht.</w:t>
      </w:r>
    </w:p>
    <w:p>
      <w:r>
        <w:rPr>
          <w:b/>
        </w:rPr>
        <w:t>E. 9.4</w:t>
      </w:r>
    </w:p>
    <w:p>
      <w:r>
        <w:t>Die Erteilung einer Einreisebewilligung setzt in erster Linie das vorliegen einer Gefährdung im Sinne von Art. 3 AsylG im Zeitpunkt der Ausreise aus dem Heimatstaat voraus (BVGE D-3402/2011 vom 30. Oktober 2012 E. 7). Dies ist im vorliegenden Fall zu verneinen. Die Beschwerdeführerin gab als Grund für die Ausreise aus Eritrea die allgemeine Kriegssituation, jedoch keine gezielte staatliche Verfolgung an. Auch hinsichtlich der gegenwärtigen Situation machte sie keine konkrete asylbeachtliche Verfolgung seitens der eritreischen Behörden geltend, sondern brachte in der Beschwerde lediglich in allgemeiner Weise vor, sie habe das eritreische Regime weder finanziell noch moralisch unterstützt und sei daher im Heimatland nicht willkommen. Daraus lässt sich aber keine Verfolgung im Sinne des Asylgesetztes ableiten. Bei dieser Sachlage ist der Beschwerdeführerin die Einreise jedoch zu verweigern. Eine Prüfung der übrigen Vorbringen der Beschwerdeführerin hat daher nicht zu erfolgen.</w:t>
      </w:r>
    </w:p>
    <w:p>
      <w:r>
        <w:rPr>
          <w:b/>
        </w:rPr>
        <w:t>E. 9.5</w:t>
      </w:r>
    </w:p>
    <w:p>
      <w:r>
        <w:t>Das BFM hat demnach der Beschwerdeführerin zu Recht die Einreise in die Schweiz verweigert beziehungsweise deren Asylgesuch abgelehnt.</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