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D-5548/2023 vom 27. Oktober 2023</w:t>
      </w:r>
    </w:p>
    <w:p>
      <w:r>
        <w:t>Bundesverwaltungsgericht, 2023-10-27, DE</w:t>
      </w:r>
    </w:p>
    <w:p>
      <w:r>
        <w:rPr>
          <w:b/>
        </w:rPr>
        <w:t xml:space="preserve">Quelle: </w:t>
      </w:r>
      <w:r>
        <w:t>https://mcp.opencaselaw.ch/entscheid/bvger_D-5548_2023</w:t>
      </w:r>
    </w:p>
    <w:p>
      <w:r>
        <w:t>FR: TAF D-5548/2023 du 27 octobre 2023</w:t>
      </w:r>
    </w:p>
    <w:p>
      <w:r>
        <w:t>IT: TAF D-5548/2023 del 27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1.3</w:t>
      </w:r>
    </w:p>
    <w:p>
      <w:r>
        <w:t>Der Vollständigkeit halber ist anzumerken, dass die Datierung der angefochtenen Verfügung auf den 21. September 2023 offensichtlich auf einem Versehen beruht, wurde doch das (erst) am 27. September 2023 bei der Vorinstanz eingegangene Beweismittel in der Verfügung erwähnt. Da sich das Eröffnungsdatum unzweifelhaft aus den Akten ergibt, sind zum korrekten Verfügungsdatum keine weiteren Abklärungen nötig.</w:t>
      </w:r>
    </w:p>
    <w:p>
      <w:r>
        <w:rPr>
          <w:b/>
        </w:rPr>
        <w:t>E. 2</w:t>
      </w:r>
    </w:p>
    <w:p>
      <w:r>
        <w:t>Über offensichtlich unbegründete Beschwerden wird in einzelrichterlicher Zuständigkeit mit Zustimmung eines zweiten Richters beziehungsweise einer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Vorab ist festzustellen, dass die vom Beschwerdeführer in der Rechtsmitteleingabe erhobene verfahrensrechtliche Rüge, wonach das SEM den Sachverhalt ungenügend abgeklärt habe, indem es keine weiteren Abklärungen zum Bestehen einer Ehe oder eheähnlichen Beziehung getätigt respektive die vorgelegte Trauungsurkunde nicht in genügender Weise berücksichtigt habe, nicht zu greifen vermag. Das SEM hat die im Rahmen des Dublin-Gesprächs vom 14. September 2023 gemachten Vorbringen zu der in Syrien erfolgten religiösen Trauung gehört und den Beschwerdeführer zur Einreichung eines entsprechenden Belegs aufgefordert. Damit ist es seiner Pflicht zur Sachverhaltserhebung in genügender Weise nachgekommen. Der Beschwerdeführer, welcher die Substantiierungslast für seine Vorbringen trägt (Art. 7 AsylG), hat weder im Dublin-Gespräch noch in der nachfolgenden Beweismitteleingabe vertiefte Ausführungen zur Beziehung zu C._______ oder zu den Hintergründen der religiösen Trauung gemacht. Das vom Beschwerdeführer zu den Akten gereichte Dokument (Kopie einer Trauungsbestätigung) fand Eingang in den Entscheid (vgl. vorinstanzliche Verfügung S. 2 und 4). Eine Verletzung des rechtlichen Gehörs des Beschwerdeführers ist damit nicht auszumachen und es besteht keine Veranlassung, die angefochtene Verfügung aus formellen Gründen aufzuheben. Der entsprechende (Eventual-)Antrag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5.2</w:t>
      </w:r>
    </w:p>
    <w:p>
      <w:r>
        <w:t>Gemäss Art. 3 Abs. 1 Dublin-III-VO wird jeder Asylantrag von einem einzigen Mitgliedstaat geprüft, der nach den Kriterien des Kapitels III (Art. 8 -15 Dublin-III-VO) als zuständiger Staat bestimmt wird (vgl. auch Art. 7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Maßgabe der Artikel 23, 24, 25 und 29 wiederaufzunehmen.</w:t>
      </w:r>
    </w:p>
    <w:p>
      <w:r>
        <w:rPr>
          <w:b/>
        </w:rPr>
        <w:t>E. 6.1</w:t>
      </w:r>
    </w:p>
    <w:p>
      <w:r>
        <w:t>Vorliegend ist durch den Abgleich der Fingerabdrücke mit der Zentraleinheit Eurodac belegt, dass der Beschwerdeführer am 30. Juli 2023 in Rumänien als asylsuchende Person registriert worden ist. Sein Einwand, dass er dort eigentlich kein Asylgesuch habe stellen wollen, vermag daran nichts zu ändern. Zudem ist ein Mitgliedstaat auch dann für die Prüfung eines Antrags um internationalen Schutz zuständig, wenn die betreffende Person - ohne einen Asylantrag gestellt zu haben - illegal eingereist und erfasst worden ist (Art. 13 Abs. 1 Dublin-III-VO). Die rumänischen Behörden haben der Wiederaufnahme des Beschwerdeführers am 18. September 2023 ausdrücklich zugestimmt. Die Zuständigkeit Rumäniens für die Durchführung seines Asylverfahrens ist somit grundsätzlich gegeben.</w:t>
      </w:r>
    </w:p>
    <w:p>
      <w:r>
        <w:rPr>
          <w:b/>
        </w:rPr>
        <w:t>E. 6.2</w:t>
      </w:r>
    </w:p>
    <w:p>
      <w:r>
        <w:t>Eine Zuständigkeit der Schweiz gestützt auf Art. 9 Dublin-III-VO ist bei der vorliegenden Aktenlage nicht festzustellen. Gemäss dieser Bestimmung ist derjenige Mitgliedstaat für die Prüfung des Antrags auf internationalen Schutz zuständig, in dem ein Familienangehöriger in seiner Eigenschaft als Begünstigter internationalen Schutzes aufenthaltsberechtigt ist, sofern die beteiligten Personen diesen Wunsch schriftlich kundtun. Praxisgemäss ist für die Beurteilung, ob jemand als Familienangehöriger im Sinne von Art. 9 Dublin-III-VO in Verbindung mit Art. 2 Bst. g Dublin-III-VO gilt, auf die Rechtsprechung zu den von Art. 8 EMRK erfassten familiären Beziehungen zurückzugreifen (vgl. Urteil des BVGer F-2645/2018 vom 25. November 2019 E. 4.3 m.w.H.). Als Familienangehöriger gilt unter anderem der Ehegatte des Antragstellers oder sein nicht verheirateter Partner, der mit ihm eine dauerhafte Beziehung führt, soweit nach dem Recht oder nach den Gepflogenheiten des betreffenden Mitgliedstaats nicht verheiratete Paare ausländerrechtlich vergleichbar behandelt werden wie verheiratete Paare (Art. 2 Bst. g Dublin-III-VO; vgl. dazu auch BVGE 2015/41 E. 8.1 m.w.H.). Der Beschwerdeführer und C._______ sind unbestrittenermassen nicht zivilrechtlich verheiratet. Laut den Ausführungen des Beschwerdeführers in der Beschwerde seien sie am (...) 2023 in Syrien in Abwesenheit von C._______ religiös vermählt worden. Das Vorbringen, wonach religiöse Trauungen in Syrien auch in Abwesenheit eines Gatten möglich seien, mag zwar durchaus zutreffen, aber mit dem vorgelegten Dokument - Kopie einer Trauungsbestätigung - vermag der Beschwerdeführer die geltend gemachte Vermählung nicht rechtsgenüglich nachzuweisen. Die Angaben im vorinstanzlichen Verfahren und die Ausführungen in der Beschwerde, wonach der Beschwerdeführer und C._______, die seit (...) in der Schweiz lebt, seit zwei Jahren per WhatsApp Kontakt hätten, sich einig seien, dass sie eine gemeinsame Zukunft in der Schweiz möchten, und sich seit der Einreise des Beschwerdeführers in die Schweiz an den Wochenenden sehen würden, lassen auch nicht auf das Führen einer eheähnlichen Beziehung im Sinne von Art. 2 Bst. g Dublin-III-VO schliessen. Diesen Beleg vermögen auch die (undatierten respektive seit der Einreise des Beschwerdeführers in die Schweiz Ende August 2023 entstandenen) Fotografien des Paares, das (undatierte) Schreiben von C._______ und die geäusserte Absicht, ein Gesuch um Einleitung eines Ehevorbereitungsverfahrens stellen zu wollen und das entsprechende Formular, nicht zu erbringen. C._______ ist somit nicht zur Kernfamilie des Beschwerdeführers gemäss Art. 2 Bst. g Dublin-III-VO zu zählen. Cousins und Cousinen fallen nicht unter die von Art. 2 Bst. g Dublin-III-VO erfassten Familienmitglieder. Die Zuständigkeit Rumäniens bleibt folglich bestehen. Daran vermag auch der Einwand des Beschwerdeführers, dass die Schweiz von Anfang an sein Ziel gewesen sei, nichts zu ändern, zumal die Dublin-III-VO den Schutzsuchenden kein Recht einräumt, den ihren Antrag prüfenden Staat selber auszuwählen (vgl. auch BVGE 2010/40 E. 8.3).</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(entspricht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Gemäss Rechtsprechung des Bundesverwaltungsgerichts bestehen keine Gründe für die Annahme, das Asylverfahren und die Aufnahmebedingungen für Antragstellende in Rumänien würden systemische Schwachstellen im Sinne von Art. 3 Abs. 2 Sätze 2 und 3 Dublin-III-VO aufweisen (vgl. etwa die Urteile des BVGer E-4847/2023 vom 22. September 2023 S. 6, E-4636/2023 vom 6. September 2023 E. 6, E-1592/2023 vom 28. März 2023 E. 5.4, D-1490/2023 vom 24. März 2023 S. 5 f. oder F-4517/2022 vom 17. November 2022 E. 5.2 f.). Solche hat auch der Europäische Gerichtshof für Menschenrechte (EGMR) bislang nicht erkannt. Für eine Änderung der Rechtsprechung besteht auch unter Berücksichtigung der Vorbringen des Beschwerdeführers keine Veranlassung. Mit seinen Ausführungen zu der als unbefriedigend erlebten Versorgung vermag er nicht substantiiert darzulegen, dass ihm in Rumänien ein faires Asylverfahren sowie eine adäquate Unterstützung und Unterbringung grundsätzlich verweigert worden wären, und er sich erfolglos bemüht hätte, diese gegebenenfalls auf dem Rechtsweg einzufordern. Laut Auskunft der rumänischen Behörden ist der Beschwerdeführer bereits wenige Tage nach der Asylgesuchstellung aus der ihm zugewiesenen Unterkunft verschwunden. Die Vermutung der Einhaltung der völkerrechtlichen Pflichten durch Rumänien vermag er damit nicht umzustossen, respektive keine ernsthaften Hinweise für systemische Mängel im rumänischen Asylverfahren und den dortigen Aufnahmebedingungen im Sinne von Art. 3 Abs. 2 zweiter Satz Dublin-III-VO darzutun.</w:t>
      </w:r>
    </w:p>
    <w:p>
      <w:r>
        <w:rPr>
          <w:b/>
        </w:rPr>
        <w:t>E. 7.4</w:t>
      </w:r>
    </w:p>
    <w:p>
      <w:r>
        <w:t>Unter diesen Umständen ist die Anwendung von Art. 3 Abs. 2 Dublin-III-VO nicht gerechtfertigt.</w:t>
      </w:r>
    </w:p>
    <w:p>
      <w:r>
        <w:rPr>
          <w:b/>
        </w:rPr>
        <w:t>E. 8.1</w:t>
      </w:r>
    </w:p>
    <w:p>
      <w:r>
        <w:t>Des Weiteren ist die vom Beschwerdeführer mit Verweis auf seine Beziehung zu C._______ und die als unzulänglich erlebte Versorgungslage in Rumänien geforderte Anwendung der Ermessensklausel von Art. 17 Abs. 1 Dublin-III-VO respektive der - das Selbsteintrittsrecht im Landesrecht konkretisierenden - Bestimmung von Art. 29a Abs. 3 der Asylverordnung 1 vom 11. August 1999 (AsylV 1, SR 142.311) zu prüfen.</w:t>
      </w:r>
    </w:p>
    <w:p>
      <w:r>
        <w:rPr>
          <w:b/>
        </w:rPr>
        <w:t>E. 8.2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Bei einer Gefährdung der Einheit der Familie gemäss Art. 8 EMRK ist die Souveränitätsklausel nach Art. 17 Abs. 1 Dublin-III-VO anzuwenden (vgl. BVGE 2013/24 E. 5).</w:t>
      </w:r>
    </w:p>
    <w:p>
      <w:r>
        <w:rPr>
          <w:b/>
        </w:rPr>
        <w:t>E. 8.3</w:t>
      </w:r>
    </w:p>
    <w:p>
      <w:r>
        <w:t>Der Beschwerdeführer machte geltend, seine Rückführung nach Rumänien würde eine Verletzung von Art. 8 EMRK nach sich ziehen, da er von der ihm religiös angetrauten C._______, die er hierzulande zivilrechtlich heiraten und mit der er zusammenleben möchte, getrennt würde. Art. 8 EMRK ist unter dem Aspekt von Art. 17 Abs. 1 Dublin-III-VO zu berücksichtigen,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BGE 144 II 1 E. 6 ff. m.w.H., Mark E. Villiger, Handbuch der Europäischen Menschenrechtskonvention, 1999, S. 365; Urteil des EGMR K. und T. gegen Finnland [Grosse Kammer] vom 12. Juli 2001, Nr. 25702/94, § 150). Wie zuvor festgestellt, ist C._______ nicht zur Kernfamilie des Beschwerdeführers gemäss Art. 2 Bst. g Dublin-III-VO zu zählen. Aufgrund der Aktenlage kann auch nicht von einer gefestigten und bereits längere Zeit tatsächlich gelebten, eng verflochtenen Beziehung im Sinne von Art. 8 EMRK ausgegangen werden, nachdem C._______ bereits seit (....) in der Schweiz lebt und bisherige Kontakte lediglich in virtueller Form stattgefunden hätten. An dieser Einschätzung vermögen die Wochenendbesuche seit der Einreise des Beschwerdeführers in die Schweiz Ende August 2023 nichts zu ändern. Dass der Beschwerdeführer und C._______ die Absicht haben, ein Gesuch um Einleitung eines Ehevorbereitungsverfahrens zu stellen und sie ein entsprechendes Formular ausgefüllt haben, sie mithin eine dauerhafte Beziehung führen möchten, ändert nichts daran, dass die erforderlichen Voraussetzungen zum heutigen Zeitpunkt nicht erfüllt sind. Hinsichtlich der besagten Absicht ist zudem festzuhalten, dass ein Ehevorbereitungsverfahren nicht zwingend die Anwesenheit beider Brautleute in der Schweiz bedingt (vgl. Art. 62 ff. der Zivilstandsverordnung vom 28. April 2004 [ZStV, SR 211.112.2]), und der Beschwerdeführer dieses sowie einen potenziellen Familiennachzug auch in Rumänien abwarten könnte. Die Voraussetzungen für die Anwendung der Souveränitätsklausel nach Art. 17 Abs. 1 Dublin-III-VO zwecks Vermeidung der Gefährdung der Einheit der Familie sind somit nicht gegeben. Es besteht vorliegend unter dem Aspekt von Art. 8 EMRK kein zwingender Selbsteintrittsgrund. Nicht weiter reicht der Schutzbereich von Art. 12 EMRK (vgl. Grabenwarter/Pabel, Europäische Menschenrechtskonvention, 7. Aufl. 2021, § 22 N. 90; Entscheid der Europäischen Kommission für Menschenrechte [EKMR] X. gegen Bundesrepublik Deutschland vom 12. Juli 1976, Nr. 7175/75 DR 6 S. 138 f.).</w:t>
      </w:r>
    </w:p>
    <w:p>
      <w:r>
        <w:rPr>
          <w:b/>
        </w:rPr>
        <w:t>E. 8.4</w:t>
      </w:r>
    </w:p>
    <w:p>
      <w:r>
        <w:t>Die rumänischen Behörden haben der Wiederaufnahme des Beschwerdeführers am 18. September 2023 zugestimmt. Ihm steht es nach erfolgter Überstellung offen, das Asylverfahren in Rumänien fortführen oder wiederaufnehmen zu lassen. Bei Vorliegen eines negativen Asyl- und Wegweisungsentscheids könnte er den Rechtsweg beschreiten. Jedenfalls besteht vorliegend kein Grund zur Annahme, die rumänischen Behörden würden dem Beschwerdeführer nach einer Überstellung den Zugang zum Asyl- respektive einem allfälligen Wiederaufnahmeverfahren unter Einhaltung der Regeln der Verfahrensrichtlinie verweigern oder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8.5</w:t>
      </w:r>
    </w:p>
    <w:p>
      <w:r>
        <w:t>Der Beschwerdeführer vermag mit seinen Ausführungen auch keine konkreten und ernsthaften Hinweise für die Annahme darzutun, Rumänien würde ihm nach der Überstellung dorthin und der (Wieder-)Aufnahme ins Asylverfahren dauerhaft die ihm gemäss Aufnahmerichtlinie zustehenden minimalen Lebensbedingungen vorenthalten. Bei einer allfälligen vorübergehenden Einschränkung könnte er sich nötigenfalls an die zuständigen Behörden vor Ort wenden und die ihm zustehenden Aufnahmebedingungen auf dem Rechtsweg einfordern (vgl. Art. 26 Aufnahmerichtlinie). In Bezug auf die erwähnten gesundheitlichen Probleme ([...], Hautausschläge) ist festzuhalten,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Das Bundesverwaltungsgericht geht in ständiger Rechtsprechung davon aus, dass Rumänien über eine ausreichende medizinische Infrastruktur verfügt und es darf aufgrund des Gesagten davon ausgegangen werden, dass dem Beschwerdeführer dort bei Bedarf adäquate medizinische Unterstützung zukommt.</w:t>
      </w:r>
    </w:p>
    <w:p>
      <w:r>
        <w:rPr>
          <w:b/>
        </w:rPr>
        <w:t>E. 8.6</w:t>
      </w:r>
    </w:p>
    <w:p>
      <w:r>
        <w:t>Die angefochtene Verfügung ist schliesslich auch mit Blick auf die Anwendung von Art. 29a Abs. 3 AsylV 1 nicht zu beanstanden (vgl. BVGE 2015/9 E. 7 f.). Den Akten sind keine Hinweise auf eine gesetzeswidrige Ermessensausübung (vgl. Art. 106 Abs. 1 Bst. a AsylG) durch das SEM zu entnehmen. Das Bundesverwaltungsgericht enthält sich unter diesen Umständen weiterer Ausführungen in diesem Zusammenhang.</w:t>
      </w:r>
    </w:p>
    <w:p>
      <w:r>
        <w:rPr>
          <w:b/>
        </w:rPr>
        <w:t>E. 8.7</w:t>
      </w:r>
    </w:p>
    <w:p>
      <w:r>
        <w:t>Nach dem Gesagten besteht kein Grund für eine Anwendung der Ermessensklauseln von Art. 17 Dublin-III-VO und an dieser Stelle bleibt nochmals festzuhalten, dass die Dublin-III-VO den Schutzsuchenden kein Recht einräumt, den ihren Antrag prüfenden Staat selber auszuwählen (vgl. BVGE 2010/45 E. 8.3). Rumänien bleibt somit zuständiger Mitgliedstaat gemäss Dublin-III-VO und ist verpflichtet, den Beschwerdeführer wiederaufzunehmen.</w:t>
      </w:r>
    </w:p>
    <w:p>
      <w:r>
        <w:rPr>
          <w:b/>
        </w:rPr>
        <w:t>E. 8.8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8.9</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9</w:t>
      </w:r>
    </w:p>
    <w:p>
      <w:r>
        <w:t>Die Beschwerde ist aufgrund des Gesagten abzuweisen und die Verfügung des SEM zu bestätigen.</w:t>
      </w:r>
    </w:p>
    <w:p>
      <w:r>
        <w:rPr>
          <w:b/>
        </w:rPr>
        <w:t>E. 10</w:t>
      </w:r>
    </w:p>
    <w:p>
      <w:r>
        <w:t>Mit vorliegendem Urteil ist das Beschwerdeverfahren abgeschlossen, weshalb sich die Anträge auf Gewährung der aufschiebenden Wirkung der Beschwerde und auf Verzicht auf die Erhebung eines Kostenvorschusses als gegenstandslos erweisen. Der vorsorglich angeordnete Vollzugsstopp fällt dahin.</w:t>
      </w:r>
    </w:p>
    <w:p>
      <w:r>
        <w:rPr>
          <w:b/>
        </w:rPr>
        <w:t>E. 11.1</w:t>
      </w:r>
    </w:p>
    <w:p>
      <w:r>
        <w:t>Das Gesuch um Gewährung der unentgeltlichen Prozessführung ist abzuweisen, da die Begehren - wie sich aus den vorstehenden Erwägungen ergibt - als offensichtlich aussichtslos zu bezeichnen waren, weshalb die Voraussetzungen von Art. 65 Abs. 1 VwVG nicht erfüllt sind.</w:t>
      </w:r>
    </w:p>
    <w:p>
      <w:r>
        <w:rPr>
          <w:b/>
        </w:rPr>
        <w:t>E. 11.2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