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D-5548/2022 vom 7. November 2022</w:t>
      </w:r>
    </w:p>
    <w:p>
      <w:r>
        <w:t>Bundesverwaltungsgericht, 2022-11-07, DE</w:t>
      </w:r>
    </w:p>
    <w:p>
      <w:r>
        <w:rPr>
          <w:b/>
        </w:rPr>
        <w:t xml:space="preserve">Quelle: </w:t>
      </w:r>
      <w:r>
        <w:t>https://mcp.opencaselaw.ch/entscheid/bvger_D-5548_2022_d20221107</w:t>
      </w:r>
    </w:p>
    <w:p>
      <w:r>
        <w:t>FR: TAF D-5548/2022 du 7 novembre 2022</w:t>
      </w:r>
    </w:p>
    <w:p>
      <w:r>
        <w:t>IT: TAF D-5548/2022 del 7 novembre 2022</w:t>
      </w:r>
    </w:p>
    <w:p>
      <w:pPr>
        <w:pStyle w:val="Heading2"/>
      </w:pPr>
      <w:r>
        <w:t>Regeste</w:t>
      </w:r>
    </w:p>
    <w:p>
      <w:r>
        <w:t>Asyl und Wegweisung | Asyl und Wegweisung; Verfügung des SEM vom 7. November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Auf einen Schriftwechsel wurde gestützt auf Art. 111a Abs. 1 AsylG verzich- tet.</w:t>
      </w:r>
    </w:p>
    <w:p>
      <w:r>
        <w:rPr>
          <w:b/>
        </w:rPr>
        <w:t>E. 4.1</w:t>
      </w:r>
    </w:p>
    <w:p>
      <w:r>
        <w:t>In der Beschwerde wird mit Verweis auf den Untersuchungsgrundsatz im Sinne eines Eventualbegehrens die Rückweisung der Sache an die Vor- instanz beantragt, sofern «es dem Bundesverwaltungsgericht nicht mög- lich [sei], aufgrund des derzeitigen Sachverhaltes die Flüchtlingseigen- schaft des Beschwerdeführers festzustellen» (vgl. Beschwerde S. 25). Der Antrag wird mit dem Gesuch um Einsicht in die vorinstanzlichen Dokumen- tenanalysen in der Rechtsmitteleingabe sowie den auf Beschwerdeebene neu hinzugekommenen Beweismitteln begründet. Darüber hinaus habe die Vorinstanz nicht alle vom Beschwerdeführer im Rahmen des rechtlichen Gehörs vorgetragenen Argumente berücksichtigt, womit sie die Begrün- dungspflicht verletzt habe. Da diese formellen Rügen gegebenenfalls geeignet sind, eine Kassation der Verfügung zu bewirken, sind sie vorab zu beurteilen.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w:t>
      </w:r>
    </w:p>
    <w:p>
      <w:r>
        <w:t>D-5548/2022 Seite 5 2015/10 E. 3.2 m.w.H.). Der Anspruch auf rechtliches Gehör (Art. 29 VwVG) umfasst als Mitwirkungsrecht alle Befugnisse,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4.3.1</w:t>
      </w:r>
    </w:p>
    <w:p>
      <w:r>
        <w:t>Mit Zwischenverfügung vom 14. Dezember 2022 stellte der Instruktionsrichter bereits fest, dass bei internen Dokumentenanalysen praxisgemäss gewichtige Geheimhaltungsinteressen bestehen, die geeignet sind, die Akteneinsicht einzuschränken, und somit nur deren wesentlicher Inhalt offenzulegen ist. Dem ist die Vorinstanz die Dokumentenprüfung vom 10. Februar 2022 betreffend nachgekommen, wozu der Beschwerdeführer mit Eingabe vom 11. April 2022 respektive 20. April 2022 unter Beigabe weiterer Beweismittel ausführlich Stellung nahm (vgl. A32/84 und A33/9). Den wesentlichen Inhalt der am 17. Juni 2022 vorgenommenen (weiteren) internen Dokumentenprüfung legte sie ihm dahingegen nicht offen und bot ihm auch keine Gelegenheit zur Stellungnahme. Die daraus resultierende Verletzung des rechtlichen Gehörs behob das SEM jedoch im Rahmen des Beschwerdeverfahrens. Mit Schreiben vom 23. Dezember 2022 teilte es dem Beschwerdeführer mit, am 17. Juni 2022 eine detaillierte amtsinterne Analyse seiner im Rahmen des rechtlichen Gehörs eingereichten Beweismittel vorgenommen zu haben. Seinen diesbezüglich zu den Akten gereichten Entscheid des 2. Gerichts für schwere Strafen B._______ vom 16. September 2021 erachtet sie als gefälscht, da die sich auf dem Dokument befindende Referenznummer nicht der üblichen Praxis entspreche und die unterzeichnende Person das Dokument nicht ausgestellt haben könne. Einfach zu fälschen seien denn auch die Auszüge aus UYAP, zudem schienen die eingereichten Facebook-Posts manipuliert (vgl. A41/10). Somit hat die Vorinstanz dem Beschwerdeführer – entgegen seiner Stellungnahme vom 5. Januar 2023 – den wesentlichen Inhalt der internen Dokumentenprüfung in rechtsgenüglicher Weise zur Kenntnis gebracht. Die Gehörsverletzung ist demnach als geheilt zu betrachten.</w:t>
      </w:r>
    </w:p>
    <w:p>
      <w:r>
        <w:t>D-5548/2022 Seite 6</w:t>
      </w:r>
    </w:p>
    <w:p>
      <w:r>
        <w:rPr>
          <w:b/>
        </w:rPr>
        <w:t>E. 4.3.2</w:t>
      </w:r>
    </w:p>
    <w:p>
      <w:r>
        <w:t>Die weiteren Einwände in der Beschwerdeschrift sind unbegründet, Die Vorinstanz hat nachvollziehbar und hinreichend differenziert aufge- zeigt, dass sie sich mit sämtlichen zentralen Vorbringen des Beschwerde- führers sowie seinen (im erstinstanzlichen Verfahren) zu den Akten ge- reichten Beweismitteln auseinandergesetzt hat (vgl. A39/12). Allein aus dem Umstand, dass das SEM zu einem anderen Schluss gelangt, als vom Beschwerdeführer erhofft, lässt sich weder eine unrichtige respektive un- vollständige Feststellung des Sachverhalts noch eine Verletzung der Be- gründungspflicht ableiten. Gleiches gilt betreffend die auf Beschwerde- ebene erstmals zu den Akten gereichten Beweismittel, zumal diese der Vorinstanz unbestrittenermassen nie vorlagen, weshalb sie diese klarer- weise gar nie würdigen konnte.</w:t>
      </w:r>
    </w:p>
    <w:p>
      <w:r>
        <w:rPr>
          <w:b/>
        </w:rPr>
        <w:t>E. 4.4</w:t>
      </w:r>
    </w:p>
    <w:p>
      <w:r>
        <w:t>Nach dem Gesagten ist das Eventualbegehren auf Rückweisung der Sache an die Vorinstanz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5.3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w:t>
      </w:r>
    </w:p>
    <w:p>
      <w:r>
        <w:t>D-5548/2022 Seite 7 wesentlichen Punkten zu wenig begründet oder in sich widersprüchlich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den Anforderun- gen an das Glaubhaftmachen nicht standhielten. Sie seien weitestgehend unsubstantiiert geblieben, zumal seine Beweismittel unstimmig seien und diverse Fälschungsmerkmale aufwiesen. So könne beispielsweise das auf der Anklageschrift angegebene Datum aufgrund der Chronologie des Straf- prozesses nicht stimmen, während das eingereichte begründete Urteil nicht eindeutig datiert sei. Die zu den Akten gereichten Gerichtsdokumente und Unterlagen der Staatsanwaltschaft entsprächen ohnehin nicht dem Vergleichsmaterial, zumal sich im Bezug auf die Zuständigkeit der vorge- nannten Behörden respektive der unterzeichnenden Personen Unstimmig- keiten ergäben. Dass die Laufnummern durch das jeweilige System gene- riert würden und die beschuldigte Person darauf keinen Einfluss nehmen könne, verstehe sich von selbst, vermöge jedoch die Diskrepanz zwischen den eingereichten Beweismitteln und dem Vergleichsmaterial des SEM nicht zu erklären. Auch der eingereichte Untersuchungsbericht der Polizei entspreche nicht der üblichen Form. Die darin aufgeführten Beiträge des Beschwerdeführers bei Facebook seien – entgegen dem vorgenannten Bericht – denn auch nicht öffentlich einsehbar und stünden nur seinen Facebook-Freunden zur Verfügung. Darüber hinaus habe der Auszug aus dem UYAP-System in Bezug auf die Authentizität der Beweismittel keine Aussagekraft, da auch ein solches Dokument gefälscht werden könne.</w:t>
      </w:r>
    </w:p>
    <w:p>
      <w:r>
        <w:rPr>
          <w:b/>
        </w:rPr>
        <w:t>E. 6.2</w:t>
      </w:r>
    </w:p>
    <w:p>
      <w:r>
        <w:t>Der Beschwerdeführer hält in der Rechtsmitteleingabe an der Glaub- haftigkeit seiner Vorbringen sowie der Authentizität seiner Beweismittel fest. Obgleich seine Aussagen eher knapp ausgefallen seien, habe er das Geltendgemachte logisch konsistent zu Protokoll geben können. Es sei denn auch nachvollziehbar, dass er als juristischer Laie zum türkischen Justizsystem nicht detaillierter habe Auskunft geben können. Allenfalls aus- weichendes oder widersprüchliches Vorbringen sei auf eine vernachlässig- bare Unachtsamkeit seinerseits zurückzuführen und könne nicht zu seinem Nachteil ausgelegt werden. Die von der Vorinstanz monierten Unstim-</w:t>
      </w:r>
    </w:p>
    <w:p>
      <w:r>
        <w:t>D-5548/2022 Seite 8 migkeiten in seinen Beweismitteln, habe sein türkischer Anwalt aufzuklären vermocht. Insbesondere habe er das Vorgehen der Staatsanwaltschaft res- pektive der Gerichte in seinem Fall plausibilisiert und damit die Zuständig- keit der jeweiligen Behörde belegt. Gleiches gelte für die von der Vo- rinstanz aufgezeigte Abweichung in der Laufnummer der Strafakten; hierzu bringt er wiederholt vor, er könne auf diese doch gar keinen Einfluss neh- men. Darüber hinaus engagiere er sich in der Schweiz mittlerweile politisch und nehme an kurischen Kundgebungen teil.</w:t>
      </w:r>
    </w:p>
    <w:p>
      <w:r>
        <w:rPr>
          <w:b/>
        </w:rPr>
        <w:t>E. 7.1</w:t>
      </w:r>
    </w:p>
    <w:p>
      <w:r>
        <w:t>Das Bundesverwaltungsgericht gelangt nach Durchsicht der Akten zum Schluss, dass die Vorinstanz in ihren Erwägungen zutreffend festgehalten hat, die Vorbringen des Beschwerdeführers genügten den Anforderungen an das Glaubhaftmachen nicht. Auf die betreffenden Ausführungen in der angefochtenen Verfügung (vgl. E. 6.1 hiervor) kann mit den nachfolgenden Ergänzungen verwiesen werden. Die Ausführungen auf Beschwerdeebene – die sich auf eine ausführliche Wiederholung des bereits Geltendgemach- ten beschränken – und die eingereichten Beweismittel führen zu keiner an- deren Betrachtungsweise.</w:t>
      </w:r>
    </w:p>
    <w:p>
      <w:r>
        <w:rPr>
          <w:b/>
        </w:rPr>
        <w:t>E. 7.2</w:t>
      </w:r>
    </w:p>
    <w:p>
      <w:r>
        <w:t>Den von der Vorinstanz aufgezeigten Ungereimtheiten in seinen Vor- bringen und den eingereichten Beweismitteln vermag der Beschwerde- führer auch auf Beschwerdeebene nichts Substantielles entgegenzuset- zen; vielmehr verstrickt er sich (teilweise) in zusätzliche Widersprüche. So machte denn seine Rechtsvertretung im Verlauf des erstinstanzlichen Ver- fahrens wiederholt geltend, gegen den Beschwerdeführer sei eine Aus- reisesperre verhängt worden und er unterstehe einer Meldepflicht (vgl. A14/2 S. 1 und A26/11 S. 2). Danach gefragt gab der Beschwerdefüh- rer während der Anhörung jedoch zu Protokoll, sich «an so etwas» nicht zu erinnern (vgl. A16/18 F152). Dass er zum geltend gemachten Strafverfah- ren und den damit einhergehenden gerichtlichen Massnahmen keine res- pektive nur ungenaue Angaben zu machen vermochte (vgl. beispielsweise A16/18 F145 ff.), lässt sich denn auch nicht alleine damit erklären, dass er juristischer Laie ist. Ebenso vage und ungenau fielen seine Ausführungen zur angeblichen Untersuchungshaft in B._______ aus. So vermute er, dass es sich bei der ihn befragenden Person um einen Polizeibeamten gehan- delt habe, «aber genauer [könne er sich] nicht dran erinnern» (vgl. A16/18, F145ff.). Der diesbezügliche Erklärungsversuch in der Beschwerdeschrift, seine «eher knapperen» [sic!] Ausführungen (vgl. Beschwerde S. 14) der Ereignisse sei seiner Nervosität während der Anhörung geschuldet, er- scheint nachgeschoben. Darüber hinaus sind denn auch seine Vorbringen</w:t>
      </w:r>
    </w:p>
    <w:p>
      <w:r>
        <w:t>D-5548/2022 Seite 9 zu seinen Aktivitäten in den sozialen Medien als ausweichend und wider- sprüchlich zu qualifizieren. Selbst in der Beschwerdeschrift wird diesbe- züglich eingestanden, dass seine Äusserungen «tatsächlich etwas merk- würdig» ausgefallen seien (vgl. Beschwerde S. 13). So machte er geltend, die ihm angeblich zur Last gelegten Beiträge bei Facebook nicht einreichen zu können, da er sein Mobiltelefon verloren habe. Zudem sei er auf Face- book nicht mehr aktiv (vgl. A16/18 F162 ff.). Angesichts dessen, dass Fa- cebook offensichtlich den Zugriff auf ein Benutzerkonto auch ohne den Zu- gang zu einem verknüpften Gerät ermöglicht (vgl. Facebook Hilfebereich, Dein Konto wiederherstellen, wenn du keinen Zugriff mehr auf die E-Mail- Adresse oder die Mobilnummer deines Kontos hast, https://www.face- book.com/help/132243923516844, abgerufen am 5. Oktober 2023), er- scheint diese Erklärung fadenscheinig. Den im Laufe des erstinstanzlichen Verfahrens schliesslich doch noch zu den Akten gereichten Beiträgen ist denn auch zu entnehmen, dass er zuletzt im September 2021 Posts veröf- fentlichte (vgl. A32/84, Beilage 10). Demnach war der Beschwerdeführer entgegen seiner Behauptung weiterhin in den sozialen Medien aktiv und hatte – zumindest wenige Wochen vor seiner Anhörung im November 2021 – noch Zugang zu seinem Account. Diesbezüglich ist denn auch festzustel- len, dass die vom Beschwerdeführer eingereichten Facebook-Beiträge kaum bis gar keine Likes aufweisen (vgl. A32/84, Beilage 10), was wiede- rum für die Annahme spricht, dass er die fraglichen Beiträge zu keinem Zeitpunkt öffentlich teilte. Vielmehr ist anzunehmen, dass er seine (politi- schen) Posts, deren Zahl ohnehin überschaubar ist, lediglich generierte, um seinen Asylvorbringen gegenüber den Schweizerischen Asylbehörden Nachdruck zu verleihen.</w:t>
      </w:r>
    </w:p>
    <w:p>
      <w:r>
        <w:rPr>
          <w:b/>
        </w:rPr>
        <w:t>E. 7.3</w:t>
      </w:r>
    </w:p>
    <w:p>
      <w:r>
        <w:t>Es trifft zwar zu, dass gewisse Ungenauigkeiten oder Auffälligkeiten für sich allein nicht darauf schliessen lassen, dass Beweismittel gefälscht sind, die Kumulation von mehreren objektiven Fälschungsmerkmalen – wie sie von der Vorinstanz festgestellt und überzeugend dargelegt wurden – führt gesamthaft jedoch zur Einschätzung, dass die Beweismittel des Beschwer- deführers (mehrheitlich) gefälscht bzw. verfälscht sind. Aufgrund der Akten besteht auch kein Anlass an der Einschätzung der Vorinstanz zu zweifeln, zumal der Beschwerdeführer diesbezüglich auch auf Beschwerdeebene lediglich auf das Schreiben seines türkischen Anwalts verweist. Da das vor- genannte Schreiben als blosses Gefälligkeitsschreiben zu würdigen ist, kommt ihm ohnehin keine hohe Beweiskraft zu, zumal es sich – sofern von der Authentizität des Schreibens auszugehen ist – bei den Erklärungsver- suchen des Anwalts, wie beispielsweise, dass die vom SEM aufgezeigten Diskrepanzen Tippfehler seien und allfällige Unzuständigkeiten der</w:t>
      </w:r>
    </w:p>
    <w:p>
      <w:r>
        <w:t>D-5548/2022 Seite 10 Behörden lediglich auf ein ungewöhnliches Vorgehen dieser zurückzufüh- ren seien (vgl. A32/84, Beilage 9), offensichtlich um unbelegte Vermutun- gen handelt.</w:t>
      </w:r>
    </w:p>
    <w:p>
      <w:r>
        <w:rPr>
          <w:b/>
        </w:rPr>
        <w:t>E. 7.4.1</w:t>
      </w:r>
    </w:p>
    <w:p>
      <w:r>
        <w:t>Gemäss Rechtsprechung des Bundesverwaltungsgerichtes kann da- von ausgegangen werden, dass die Aktivitäten kurdischer Exilorganisatio- nen oder einzelner Exponentinnen und Exponenten eines gewissen For- mats von regimetreuen Bürgern oder im Ausland lebenden Behördenver- tretern der Türkei beobachtet werden. Eine tatsächliche Gefährdung im Falle der Rückkehr in die Türkei erscheint jedoch nur dann als wahrschein- lich, wenn konkrete Anhaltspunkte dafür vorliegen, dass exilpolitisch aktive Staatsangehörige der Türkei tatsächlich das Interesse der heimatlichen Behörden auf sich gezogen haben respektive als regimefeindliche Perso- nen namentlich identifiziert und registriert wurden (vgl. Urteil des BVGer D-2759/2020 vom 29. September 2021 E. 8.2 m.w.H.).</w:t>
      </w:r>
    </w:p>
    <w:p>
      <w:r>
        <w:rPr>
          <w:b/>
        </w:rPr>
        <w:t>E. 7.4.2</w:t>
      </w:r>
    </w:p>
    <w:p>
      <w:r>
        <w:t>Dass die heimatlichen Behörden Kenntnis von einem allfälligen Bei- trag des Beschwerdeführers an vereinzelten Veranstaltungen genommen haben, erscheint bei der grossen Anzahl regimekritischer Aktivitäten von türkischen Staatsangehörigen in ganz Westeuropa unwahrscheinlich. Die behauptete Teilnahme des Beschwerdeführers an entsprechenden Kund- gebungen, ist im Übrigen weder belegt noch substantiiert worden. Die dies- bezüglich auf Beschwerdeebene eingereichten Fotografien (vgl. Be- schwerdebeilage 4–6) geben weder Aufschluss darüber, wo und in wel- chem Zusammenhang die Aufnahmen entstanden sind, noch um wen es sich bei den abgebildeten Personen handelt, zumal diese aufgrund der Bildqualität kaum zu identifizieren sind. Es ist somit nicht davon auszuge- hen, der Beschwerdeführer habe aufgrund einer allfälligen Beteiligung an – in der Art und Form als niederschwellig und massentypisch zu bezeich- nenden – Protestaktionen das Missfallen der türkischen Regierung auf sich gezogen.</w:t>
      </w:r>
    </w:p>
    <w:p>
      <w:r>
        <w:rPr>
          <w:b/>
        </w:rPr>
        <w:t>E. 7.5</w:t>
      </w:r>
    </w:p>
    <w:p>
      <w:r>
        <w:t>Zusammenfassend ist es dem Beschwerdeführer somit nicht gelungen, eine zum Zeitpunkt seiner Ausreise bestehende oder seither drohende, asylrechtlich relevante Gefährdung nachzuweisen oder glaubhaft zu ma- chen. Die Vorinstanz hat folglich zu Recht seine Flüchtlingseigenschaft ver- neint und sein Asylgesuch abgelehnt.</w:t>
      </w:r>
    </w:p>
    <w:p>
      <w:r>
        <w:rPr>
          <w:b/>
        </w:rPr>
        <w:t>E. 8</w:t>
      </w:r>
    </w:p>
    <w:p>
      <w:r>
        <w:t>Gemäss Art. 44 AsylG verfügt das SEM in der Regel die Wegweisung aus</w:t>
      </w:r>
    </w:p>
    <w:p>
      <w:r>
        <w:t>D-5548/2022 Seite 11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w:t>
      </w:r>
    </w:p>
    <w:p>
      <w:r>
        <w:t>D-5548/2022 Seite 12 unmenschliche Behandlung drohen würde (vgl. Urteil des EGMR Saadi ge- gen Italien vom 28. Februar 2008, Grosse Kammer 37201/06, §§ 124–127 m.w.H.). Auch lässt die allgemeine Menschenrechtssituation in der Türkei nicht auf das Bestehen eines "real risk" einer völkerrechtswid- rigen Behandlung schliessen (vgl. Urteil des BVGer D-2098/2021 vom 24. November 2022 E. 7.3). Nach dem Gesagten ist der Vollzug der Weg- weisung sowohl im Sinne der landes- als auch der völkerrechtlichen Best- 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9.4.2</w:t>
      </w:r>
    </w:p>
    <w:p>
      <w:r>
        <w:t>Darüber hinaus sind keine individuellen Gründe ersichtlich, die gegen einen Wegweisungsvollzug sprechen. Der junge Beschwerdeführer verfügt über einen Universitätsabschluss und stammt gemäss eigenen Angaben aus überdurchschnittlich guten finanziellen Verhältnissen (vgl. A16/18 F5 ff., F37, F51 und F91). Zudem leben weiterhin zahlreiche Verwandte – unter anderem seine Eltern – in der Türkei, die ihn bereits vor seiner Ausreise unterstützten und zu welchen er weiterhin den Kontakt pflegt (vgl. A16/18 F49, F54 und F95). Sollte der Beschwerdeführer wider Erwarten auf Unterstützung angewiesen sein, ist demnach davon auszugehen, dass er auf sein umfangreiches Beziehungsnetz zurück- greifen und wieder im Haushalt seiner Eltern unterkommen kann. Belege für die auf Beschwerdeebene behaupteten psychischen Leiden des Beschwerdeführers und eine damit einhergehende Therapie in der Schweiz finden sich in den Akten keine, zumal er gemäss seinen eigenen Angaben keine gesundheitlichen Probleme hat (vgl. A16/18 F5). Konkrete</w:t>
      </w:r>
    </w:p>
    <w:p>
      <w:r>
        <w:t>D-5548/2022 Seite 13 Gründe, welche es als wahrscheinlich erscheinen liessen, dass er im Falle seiner Rückkehr in die Türkei in eine existenzielle Notlage geraten würde, sind somit nicht ersichtlich und der Vollzug der Wegweisung erweist sich nach dem Gesagten auch als zumutbar.</w:t>
      </w:r>
    </w:p>
    <w:p>
      <w:r>
        <w:rPr>
          <w:b/>
        </w:rPr>
        <w:t>E. 9.5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 keine Kostennote eingereicht, weshalb das amtliche Honorar aufgrund der Akten zu bestimmen ist (Art. 14 Abs. 2 in fine VGKE). Gestützt auf die in Betracht zu ziehenden Bemessungsfaktoren (Art. 9–13 VGKE) ist der Rechts- vertretung ein amtliches Honorar von pauschal Fr. 1’000.– (inkl. Auslagen) zuzusprechen. Sollte der Beschwerdeführer später zu hinreichenden Mitteln gelangen, hat er das amtliche Honorar dem Bundes- verwaltungsgericht zurückzuerstatten (Art. 65 Abs. 4 VwVG; vgl. Urteil des BVGer D-1755/2023 vom 30. Mai 2023 E. 13.3).</w:t>
      </w:r>
    </w:p>
    <w:p>
      <w:r>
        <w:t>(Dispositiv nächste Seite)</w:t>
      </w:r>
    </w:p>
    <w:p>
      <w:r>
        <w:t>D-5548/2022 Seite 15</w:t>
      </w:r>
    </w:p>
    <w:p>
      <w:r>
        <w:rPr>
          <w:b/>
        </w:rPr>
        <w:t>E. 11.1</w:t>
      </w:r>
    </w:p>
    <w:p>
      <w:r>
        <w:t>Bei diesem Ausgang des Verfahrens wären die Kosten dem Be- schwerdeführer aufzuerlegen (Art. 63 Abs. 1 VwVG). Da jedoch mit Zwi- schenverfügung vom 14. Dezember 2022 die unentgeltliche Prozessfüh- rung gemäss Art. 65 Abs. 1 VwVG gewährt wurde und sich seine Verhält- nisse zwischenzeitlich nicht wesentlich verändert haben, sind keine Ver- fahrenskosten zu erheben.</w:t>
      </w:r>
    </w:p>
    <w:p>
      <w:r>
        <w:rPr>
          <w:b/>
        </w:rPr>
        <w:t>E. 11.2</w:t>
      </w:r>
    </w:p>
    <w:p>
      <w:r>
        <w:t>Wird eine Verletzung von Verfahrensrechten auf Beschwerdeebene geheilt, ist praxisgemäss eine anteilsmässige Parteientschädigung zuzu- sprechen (vgl. etwa Urteil des BVGer E-404/2020 vom 6. Juni 2023 E. 12.2). Gestützt auf die in Betracht zu ziehenden Bemessungsfaktoren (Art. 9-13 des Reglements vom 21. Februar 2008 über die Kosten und Ent- schädigungen vor dem Bundesverwaltungsgericht [VGKE, SR 173.320.2]) ist die vom SEM auszurichtende Parteientschädigung auf Fr. 200.– festzu- setzen.</w:t>
      </w:r>
    </w:p>
    <w:p>
      <w:r>
        <w:rPr>
          <w:b/>
        </w:rPr>
        <w:t>E. 11.3</w:t>
      </w:r>
    </w:p>
    <w:p>
      <w:r>
        <w:t>Ebenfalls mit Verfügung vom 14. Dezember 2022 wurde ausserdem das Gesuch um amtliche Verbeiständung gutgeheissen und dem Be- schwerdeführer die rubrizierte Rechtsvertretung als Rechtsbeistand be- stellt. Demnach ist dieser ein amtliches Honorar für ihre notwendigen (und</w:t>
      </w:r>
    </w:p>
    <w:p>
      <w:r>
        <w:t>D-5548/2022 Seite 14 nicht bereits mit der zugesprochenen Parteienschädigung abgegoltenen) Aufwendungen im Beschwerdeverfahren auszurichten. Die Festsetzung des amtlichen Honorars erfolgt in Anwendung der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