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D-5542/2011 vom 14. Oktober 2011</w:t>
      </w:r>
    </w:p>
    <w:p>
      <w:r>
        <w:t>Bundesverwaltungsgericht, 2011-10-14, DE</w:t>
      </w:r>
    </w:p>
    <w:p>
      <w:r>
        <w:rPr>
          <w:b/>
        </w:rPr>
        <w:t xml:space="preserve">Quelle: </w:t>
      </w:r>
      <w:r>
        <w:t>https://mcp.opencaselaw.ch/entscheid/bvger_D-5542_2011</w:t>
      </w:r>
    </w:p>
    <w:p>
      <w:r>
        <w:t>FR: TAF D-5542/2011 du 14 octobre 2011</w:t>
      </w:r>
    </w:p>
    <w:p>
      <w:r>
        <w:t>IT: TAF D-5542/2011 del 14 ottobre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Beschwerdeführerinnen sind legitimiert; auf ihre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wird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erkannt (vgl. zum Folgenden BVGE 2007/30 E. 5.2 ff.), dass sich die Unmöglichkeit einer Befragung aus organisatorischen oder kapazitätsmässigen Gründen bei der je­weiligen Vertretung, aus faktischen Hindernissen im betreffenden Land oder aus bei der asylsuchenden Person liegenden persönlichen Grün­den ergeben kann. Da die Anhörung der Sachverhaltserstellung sowie der Gewährung des rechtlichen Ge­hörs dient,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Schliesslich ist das Bundes­amt in jedem Fall gehalten, das Absehen von einer Befragung in der Verfügung über das Asylgesuch zu begrün­den.</w:t>
      </w:r>
    </w:p>
    <w:p>
      <w:r>
        <w:rPr>
          <w:b/>
        </w:rPr>
        <w:t>E. 4.2</w:t>
      </w:r>
    </w:p>
    <w:p>
      <w:r>
        <w:t>Im vorliegenden Fall wurden die Beschwerdeführerinnen von der schweizerischen Botschaft in Kolumbien zu ihren Asylgesuchen nicht befragt, da die Botschaft dazu gemäss Überweisungsschreiben vom 2. September 2010 aus gerichtsnotorischen und mithin nachvollziehbaren Kapazitätsgrün­den nicht in der Lage war. Den Beschwerdeführerinnen wurde indessen mit Zwischenverfügung des BFM vom 22. September 2010 Gelegenheit zur weiteren Konkretisierung ihrer Asylgründe gegeben sowie das rechtliche Gehör im Hinblick auf die vom Bundesamt in Erwägung gezogene Abweisung der Asylgesuche gewährt. Weiter haben die Beschwerdeführerinnen von dieser Möglichkeit mit Eingabe vom 10. Ok­tober 2010 Gebrauch gemacht. Angesichts der einlässlichen Ausführungen der Beschwerdeführerinnen in ihren mit Schreiben vom 30. August 2010 eingereichten Asylgesuchen und in der Eingabe vom 10. Oktober 2010 sowie unter Berücksichtigung der eingereichten Beweismittel ist der entscheidwesentliche Sachverhalt als hinreichend abgeklärt zu erachten. Schliesslich hat das BFM in der angefochtenen Verfügung das Absehen von einer persönlichen Anhörung in nachvollziehbarer Weise begründet. Somit hat das BFM den verfahrensrechtlichen Anforderungen an die Behandlung der Asylgesuche ausreichend Rechnung getragen.</w:t>
      </w:r>
    </w:p>
    <w:p>
      <w:r>
        <w:rPr>
          <w:b/>
        </w:rPr>
        <w:t>E. 5.1</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Beschwerdeführerinnen hätten keine besonders nahen Beziehungen zur Schweiz geltend gemacht. Demgegenüber bestehen konkrete Anknüpfungspunk­te zu Costa Rica, wo die Mutter beziehungsweise Grossmutter und die Schwestern beziehungsweise Tanten der Beschwerdeführerinnen - gemäss deren Angaben als Flüchtlinge - leben. Des Weiteren hat das Bundesamt zu Recht ausgeführt, dass es den Beschwerdeführerinnen zuzumuten ist, in einem anderen la­teinamerikanischen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im Sinne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sprechen im Übrigen die Möglichkeit der visumfreien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Weder aus den Vorbringen der Beschwerdeführerinnen im vor­instanzlichen Verfahren (unter Berücksichtigung der eingereichten Beweismittel) noch auf Beschwerdeebene ergeben sich konkrete Anhaltspunkte, die darauf schliessen liessen, es sei ihnen praktisch unmöglich oder objektiv unzumutbar, sich in einen anderen Staat, insbesondere einen der Nachbarstaaten Kolumbiens, zu begeben (vgl. EMARK 2004 Nr. 20 sowie 1997 Nr. 15 E. 2f). Dies gilt umso mehr, als es sich bei den Beschwerdeführerinnen aufgrund der Akten nicht um landesweit bekannte Personen handelt, die aufgrund einer besonders exponierten Stellung auch bei einer Flucht ins nahe Ausland allenfalls befürchten müssten, weiterhin verfolgt zu werden.</w:t>
      </w:r>
    </w:p>
    <w:p>
      <w:r>
        <w:rPr>
          <w:b/>
        </w:rPr>
        <w:t>E. 6.2</w:t>
      </w:r>
    </w:p>
    <w:p>
      <w:r>
        <w:t>Bei dieser Sachlage kann offen bleiben, ob sich die Beschwerde­führerinnen den geltend gemachten Bedrohungen allenfalls durch eine in­nerstaatliche Verlegung ihres Wohnsitzes dauerhaft entziehen könnten.</w:t>
      </w:r>
    </w:p>
    <w:p>
      <w:r>
        <w:rPr>
          <w:b/>
        </w:rPr>
        <w:t>E. 6.3</w:t>
      </w:r>
    </w:p>
    <w:p>
      <w:r>
        <w:t>Nach dem Gesagten ist zusammenfassend festzuhalten, dass die Beschwerdeführerinnen über keine konkrete Bezie­hungsnähe zur Schweiz verfügen, hingegen die Möglichkeit der ander­weitigen Schutzsuche haben. Unter diesen Umständen hat das BFM zu Recht den Beschwerde­führerinnen die Erteilung der Einreisebewilligung verweigert und die Asyl­gesuche abgelehnt.</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grundsätzlich den Beschwerdeführerinnen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