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D-5539/2015 vom 18. September 2015</w:t>
      </w:r>
    </w:p>
    <w:p>
      <w:r>
        <w:t>Bundesverwaltungsgericht, 2015-09-18, DE</w:t>
      </w:r>
    </w:p>
    <w:p>
      <w:r>
        <w:rPr>
          <w:b/>
        </w:rPr>
        <w:t xml:space="preserve">Quelle: </w:t>
      </w:r>
      <w:r>
        <w:t>https://mcp.opencaselaw.ch/entscheid/bvger_D-5539_2015</w:t>
      </w:r>
    </w:p>
    <w:p>
      <w:r>
        <w:t>FR: TAF D-5539/2015 du 18 septembre 2015</w:t>
      </w:r>
    </w:p>
    <w:p>
      <w:r>
        <w:t>IT: TAF D-5539/2015 del 18 settembre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111a Abs. 1 AsylG wurde vorliegend auf einen Schriftenwechsel verzichtet.</w:t>
      </w:r>
    </w:p>
    <w:p>
      <w:r>
        <w:rPr>
          <w:b/>
        </w:rPr>
        <w:t>E. 2.1</w:t>
      </w:r>
    </w:p>
    <w:p>
      <w:r>
        <w:t>Im Rahmen der von der Bundesversammlung am 14. Dezember 2012 beschlossenen Asylgesetzrevision (AS 2013 4383; in Kraft getreten am 1. Februar 2014) wurde aArt. 106 Abs. 1 Bst. c AsylG - die Rüge der Unangemessenheit - ersatzlos gestrichen. Im asylrechtlichen Beschwerdeverfahren kann demnach im Sinne von Art. 106 Abs. 1 AsylG neu lediglich die Verletzung von Bundesrecht, einschliesslich Missbrauch, Über- und Unterschreitung des Ermessens, sowie die unrichtige oder unvollständige Feststellung des rechtserheblichen Sachverhalts gerügt werden (Art. 106 Abs. 1 Bst. a und b AsylG).</w:t>
      </w:r>
    </w:p>
    <w:p>
      <w:r>
        <w:rPr>
          <w:b/>
        </w:rPr>
        <w:t>E. 2.2</w:t>
      </w:r>
    </w:p>
    <w:p>
      <w:r>
        <w:t>Gestützt auf Absatz 1 der Übergangsbestimmungen zur Änderung des Asylgesetzes vom 14. Dezember 2012 gilt für die im Zeitpunkt des Inkrafttretens hängigen Verfahren mit Ausnahme der Absätze 2 - 5 das neue Recht. Die Absätze 2 - 5 sind für das vorliegende Verfahren nicht von Beachtung.</w:t>
      </w:r>
    </w:p>
    <w:p>
      <w:r>
        <w:rPr>
          <w:b/>
        </w:rPr>
        <w:t>E. 2.3</w:t>
      </w:r>
    </w:p>
    <w:p>
      <w:r>
        <w:t>Der revidierte Art. 106 Abs. 1 AsylG mit Inkrafttreten per 1. Februar 2014 ist gemäss Wortlaut auch auf jene Beschwerdeverfahren anwendbar, die im Zeitpunkt der Rechtsänderung bereits hängig waren. In Anbetracht der nachfolgenden Erwägungen kann vorliegend jedoch offen gelassen werden, ob eine solche übergangsrechtliche Normierung mit den einschlägigen verfassungsrechtlichen Grundsätzen, insbesondere Art. 5, 8 und 9 BV, vereinbar ist (vgl. E. 4.3).</w:t>
      </w:r>
    </w:p>
    <w:p>
      <w:r>
        <w:rPr>
          <w:b/>
        </w:rPr>
        <w:t>E. 2.4</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3</w:t>
      </w:r>
    </w:p>
    <w:p>
      <w:r>
        <w:t>Wird ein Asylgesuch im Ausland bei einer schweizerischen Vertretung gestellt, so führt diese mit der asylsuchenden Person in der Regel eine Befragung durch und überweist das Gesuch anschliessend an das SEM (vgl. dazu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 Im vorliegenden Verfahren hat die Botschaft mit dem Beschwerdeführer eine Befragung zu den Gesuchsgründen durchgeführt.</w:t>
      </w:r>
    </w:p>
    <w:p>
      <w:r>
        <w:rPr>
          <w:b/>
        </w:rPr>
        <w:t>E. 4.1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Das SEM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4.3</w:t>
      </w:r>
    </w:p>
    <w:p>
      <w:r>
        <w:t>Bei der Beurteilung der Elemente der Flüchtlingseigenschaft im Sinne von Art. 3 AsylG und deren Glaubhaftmachung im Sinne von Art. 7 AsylG handelt es sich um Rechtsfragen respektive um einen Beweismassstab, der mittels Gesetzesauslegung zu konkretisieren ist. Dem SEM kommt diesbezüglich kein Ermessen zu (vgl. zur Publikation vorgesehenes Urteil des Bundesverwaltungsgerichts D-103/2014 vom 21. Januar 2015 E. 7.3). Die vorliegend zu beurteilende Frage nach der Gefährdung des Beschwerdeführers im Sinne von Art. 3 AsylG ist gestützt auf Art. 106 Abs. 1 AsylG somit nach wie vor vollumfänglich überprüfbar.</w:t>
      </w:r>
    </w:p>
    <w:p>
      <w:r>
        <w:rPr>
          <w:b/>
        </w:rPr>
        <w:t>E. 5.1</w:t>
      </w:r>
    </w:p>
    <w:p>
      <w:r>
        <w:t>In einem ersten Schritt ist demnach zu prüfen, ob dem Beschwerdeführer bei einer Rückkehr in den Irak eine asylrelevante Gefährdung droht.</w:t>
      </w:r>
    </w:p>
    <w:p>
      <w:r>
        <w:rPr>
          <w:b/>
        </w:rPr>
        <w:t>E. 5.2</w:t>
      </w:r>
    </w:p>
    <w:p>
      <w:r>
        <w:t>Weder den verschiedenen Aussagen noch den weiteren Akten sind glaubhafte Hinweise dafür zu entnehmen, dass der Beschwerdeführer im Irak einer asylrechtlich relevanten Verfolgung ausgesetzt war oder ihm eine solche - beispielsweise auch aufgrund objektiver Nachfluchtgründe - im Falle der Rückkehr drohen würde. So macht er kein politisches Engagement vor Ort geltend. Seine Furcht, wegen der geistigen Haltung beziehungsweise der Distanzierung vom Islam in den Fokus gewisser Gruppierungen zu geraten, erscheint zwar als nachvollziehbar. Dass er sich vor der Ausreise oder anlässlich der beiden Aufenthalte nach der Wohnsitzverlegung nach China mit einer solchen Gefährdung konkret auseinandersetzen musste, kann seinen Aussagen indes nicht schlüssig entnommen werden. Vielmehr verweist er auf die allgemein auch religiös angespannte Situation vor Ort, ohne dabei zu verdeutlichen, ob beziehungsweise wie er davon konkret betroffen gewesen sei beziehungsweise aktuell wäre. Das SEM weist im Übrigen zu Recht darauf hin, dass die beiden Aufenthalte im Irak nach der Wohnsitznahme in China ebenfalls gegen eine asylrelevante Gefährdung sprechen. Die Ausführungen in der Beschwerde stellen weitgehend eine Wiederholung bisheriger Vorbringen dar. Soweit er neu geltend macht, die irakische Botschaft weigere sich, ihm den im Januar 2016 ablaufenden Pass zu verlängern beziehungsweise einen neuen auszustellen, ist zum einen festzuhalten, dass er bis zu diesem Zeitpunkt offenbar noch einen gültigen Pass hat. Ausserdem hat er die Möglichkeit, sich bei der vorgesetzten irakischen Behörde zu beschweren, sollte die Botschaft seinen Begehren wegen der Dokumente in rechtswidriger Weise nicht entsprechen. Ein asylrelevanter Aspekt ist mithin auch in diesem Punkt nicht ersichtlich.</w:t>
      </w:r>
    </w:p>
    <w:p>
      <w:r>
        <w:rPr>
          <w:b/>
        </w:rPr>
        <w:t>E. 5.3</w:t>
      </w:r>
    </w:p>
    <w:p>
      <w:r>
        <w:t>Dem Beschwerdeführer ist es demnach nicht gelungen, eine asylrelevante Verfolgung im Irak glaubhaft zu machen. Damit erübrigt sich im Sinne der vorinstanzlichen Erwägungen eine Prüfung der weiteren Voraussetzungen der Erteilung einer Einreisebewilligung im asylrechtlichen Auslandsverfahren. Das Gesuch um Bewilligung der Einreise zur Durchführung eines Asylverfahrens und das Asylgesuch aus dem Ausland wurden vom SEM zu Recht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die Kosten grundsätzlich dem Beschwerdeführer aufzuerlegen (Art. 63 Abs. 1 VwVG). Aus verwal­tungsökonomischen Gründen sowie in Anwendung von Art. 63 Abs. 1 in fine VwVG und Art. 6 Abs. 1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