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D-5538/2016 vom 29. September 2016</w:t>
      </w:r>
    </w:p>
    <w:p>
      <w:r>
        <w:t>Bundesverwaltungsgericht, 2016-09-29, DE</w:t>
      </w:r>
    </w:p>
    <w:p>
      <w:r>
        <w:rPr>
          <w:b/>
        </w:rPr>
        <w:t xml:space="preserve">Quelle: </w:t>
      </w:r>
      <w:r>
        <w:t>https://mcp.opencaselaw.ch/entscheid/bvger_D-5538_2016</w:t>
      </w:r>
    </w:p>
    <w:p>
      <w:r>
        <w:t>FR: TAF D-5538/2016 du 29 septembre 2016</w:t>
      </w:r>
    </w:p>
    <w:p>
      <w:r>
        <w:t>IT: TAF D-5538/2016 del 29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Seit dem Inkrafttreten der Änderung des Asylgesetzes vom 14. De­zember 2012 am 1. Februar 2014 ist das Wiedererwägungsverfahren im Asylgesetz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1.3</w:t>
      </w:r>
    </w:p>
    <w:p>
      <w:r>
        <w:t>Gemäss herrschender Lehre und ständiger Praxis des Bundesgerichts ergibt sich aus Art. 29 BV unter bestimmten Voraussetzungen ein verfassungsrechtlicher Anspruch auf Wiedererwägung (vgl. BGE 138 I 61 E. 4.3; BGE 136 II 177 E. 2, je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1.4</w:t>
      </w:r>
    </w:p>
    <w:p>
      <w:r>
        <w:t>Im Rahmen eines Wiedererwägungsverfahrens können ebenfalls Beweismittel geprüft werden, die erst nach einem materiellen Beschwerdeentscheid des Bundesverwaltungsgerichts entstanden sind und daher revisionsrechtlich nicht von Relevanz sein können (vgl. BVGE 2013/22 E. 12.3).</w:t>
      </w:r>
    </w:p>
    <w:p>
      <w:r>
        <w:rPr>
          <w:b/>
        </w:rPr>
        <w:t>E. 2.1</w:t>
      </w:r>
    </w:p>
    <w:p>
      <w:r>
        <w:t>Das SEM ist mit Verfügung vom 17. August 2016 auf das Wiedererwägungsgesuch vom 27. Mai 2016 nicht eingetreten, nachdem der Beschwerdeführer den von ihm gestützt auf Art. 111d Abs. 3 AsylG verlangten Gebührenvorschuss innert angesetzter Frist nicht bezahlt hat.</w:t>
      </w:r>
    </w:p>
    <w:p>
      <w:r>
        <w:rPr>
          <w:b/>
        </w:rPr>
        <w:t>E. 2.2</w:t>
      </w:r>
    </w:p>
    <w:p>
      <w:r>
        <w:t>Gemäss Art. 108 Abs. 2 AsylG beträgt die Beschwerdefrist gegen Nichteintretensentscheide fünf Arbeitstage. Diese Frist gilt unter anderem auch für Nichteintretensentscheide des SEM, mit welchen es auf ein Wiedererwägungsgesuch nicht eintritt (vgl. Botschaft zur Änderung des Asylgesetzes vom 26. Mai 2010 [BBl 2010 4504]; Urteile des BVGer E-1666/2014 vom 16. Dezember 2014 E. 1.3 [nicht publizierte Erwägung aus BVGE 2014/39]; D-533/2016 vom 8. Februar 2016 E. 1.2; D-1010/2016 vom 10. März 2016 S. 6; D-3505/2015 vom 17. Juni 2015 E. 1.3; E-5175/2014 vom 25. September 2014 E. 1.3; D-4021/2010 vom 18. Juni 2010 S. 6).</w:t>
      </w:r>
    </w:p>
    <w:p>
      <w:r>
        <w:rPr>
          <w:b/>
        </w:rPr>
        <w:t>E. 3.1</w:t>
      </w:r>
    </w:p>
    <w:p>
      <w:r>
        <w:t>Schriftliche Eingaben sind spätestens am letzten Tag der Frist der Behörde einzureichen oder zu deren Handen der schweizerischen Post zu übergeben (Art. 21 Abs. 1 VwVG). Gemäss Rückschein wurde die Verfügung vom 17. August 2016 dem Rechtsvertreter des Beschwerdeführers, Rechtsanwalt Gabriel Püntener, am 31. August 2016 eröffnet. Demnach ist die Frist von fünf Arbeitstagen am 7. September 2016 abgelaufen (Art. 53 der Asylverordnung 1 vom 11. August 1999 über Verfahrensfragen [AsylV 1, SR 142.311]; vgl. auch BVGE 2009/55), womit die Beschwerde verspätet eingereicht wäre.</w:t>
      </w:r>
    </w:p>
    <w:p>
      <w:r>
        <w:rPr>
          <w:b/>
        </w:rPr>
        <w:t>E. 3.2</w:t>
      </w:r>
    </w:p>
    <w:p>
      <w:r>
        <w:t>Das SEM hat die angefochtene Verfügung allerdings mangelhaft eröffnet, indem es in seiner Rechtsmittelbelehrung anstatt auf Art. 108 Abs. 2 AsylG und die darin vorgesehene Beschwerdefrist von fünf Arbeitstagen zu verweisen, unter Hinweis auf Art. 50 VwVG und Art. 105 AsylG festhielt, gegen diesen Entscheid könne innert 30 Tagen seit Eröffnung beim Bundesverwaltungsgericht Beschwerde erhoben werden.</w:t>
      </w:r>
    </w:p>
    <w:p>
      <w:r>
        <w:rPr>
          <w:b/>
        </w:rPr>
        <w:t>E. 3.3</w:t>
      </w:r>
    </w:p>
    <w:p>
      <w:r>
        <w:t>Gemäss Art. 38 VwVG darf den Parteien aus mangelhafter Eröffnung kein Nachteil erwachsen. Dies hat insbesondere zur Folge, dass ein aufgrund einer falschen Rechtsmittelbelehrung verspätet eingereichtes Rechtsmittel als gültig anzuerkennen ist (vgl. Moser/Beusch/Kneubühler, Prozessieren vor dem Bundesverwaltungsgericht, 2. Auflage 2013, Rz. 2.106/7). Durch Art. 38 VwVG geschützt ist eine Prozesspartei allerdings nur, wenn sie sich nach Treu und Glauben auf die fehlerhafte Rechtsmittelbelehrung verlassen durfte. Wer die Unrichtigkeit erkannte oder bei gebührender Aufmerksamkeit hätte erkennen können, kann sich nicht auf Art. 38 VwVG berufen, wobei allerdings nur eine grobe prozessuale Unsorgfalt der betroffenen Partei oder ihres Anwalts eine unrichtige Rechtsmittelbelehrung aufzuwiegen vermag. Der Vertrauensschutz versagt zudem nur dann, wenn der Mangel in der Rechtsmittelbelehrung für den Rechtsuchenden beziehungsweise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(vgl. zum Ganzen BGE 139 III 78 E. 5.4.2; BGE 138 I 49 E. 8.3.2; BGE 135 III 374 E. 1.2.2; BGE 129 II 125 E. 3.3).</w:t>
      </w:r>
    </w:p>
    <w:p>
      <w:r>
        <w:rPr>
          <w:b/>
        </w:rPr>
        <w:t>E. 3.4</w:t>
      </w:r>
    </w:p>
    <w:p>
      <w:r>
        <w:t>Gabriel Püntener ist ein seit Jahrzehnten insbesondere auch auf dem Gebiet des Asyls tätiger Rechtsanwalt, der infolge zahlloser Verfahren, in denen er als Rechtsvertreter aufgetreten ist, über umfassende Erfahrung im Prozessieren vor dem Bundesverwaltungsgericht verfügt. Von einem derart spezialisierten Rechtsanwalt darf erwartet werden, er habe Kenntnis davon, dass die Beschwerdefrist gegen Nichteintretensentscheide im Asylbeschwerdeverfahren in Art. 108 Abs. 2 AsylG spezialgesetzlich geregelt ist, diese fünf Arbeitstage beträgt, und er deshalb ohne weiteres hätte erkennen können, dass die vom SEM unter Hinweis auf Art. 50 VwVG und Art. 105 AsylG erfolgte Rechtsmittelbelehrung, wonach gegen diesen Entscheid innert 30 Tagen seit Eröffnung beim Bundesverwaltungsgericht Beschwerde erhoben werden könne, nicht zutreffend ist. Der Umstand, dass er die Beschwerde erst am 12. September 2016, und damit nach Ablauf der Beschwerdefrist, eingereicht hat, kann daher nicht als begreifliche Folge der falschen Rechtsmittelbelehrung des SEM in der angefochtenen Verfügung betrachtet werden. Vielmehr ist im Umstand, dass er es versäumt hat, innert der in Art. 108 Abs. 2 AsylG vorgesehenen Frist von fünf Arbeitstagen Beschwerde gegen die Verfügung des SEM vom 17. August 2016 zu erheben, eine grobe prozessuale Unsorgfalt zu erblicken. Auf die verspätet eingereichte Beschwerde ist deshalb nicht einzutreten.</w:t>
      </w:r>
    </w:p>
    <w:p>
      <w:r>
        <w:rPr>
          <w:b/>
        </w:rPr>
        <w:t>E. 4.1</w:t>
      </w:r>
    </w:p>
    <w:p>
      <w:r>
        <w:t>Aufgrund dieses Ausgangs des Verfahrens ist sowohl der Antrag, im Sinne einer vorsorglichen Massnahme sei dem Beschwerdeführer für die Dauer des gesamten Verfahrens vor dem Bundesverwaltungsgericht und dem SEM zu gestatten, den Ausgang des Beschwerdeverfahrens in der Schweiz abzuwarten, als auch derjenige um Erlass superprovisorischer Massnahmen gegenstandslos geworden. Dasselbe gilt für das Ersuchen, dem Beschwerdeführer sei mitzuteilen, welche Gerichtspersonen mit der Behandlung der vorliegenden Sache betraut würden, da das Spruchgremium mit dem Nichteintretensentscheid mitgeteilt wird. Bezüglich des Gesuchs, es sei mit geeigneten Mitteln zu belegen, dass das Spruchgremium tatsächlich zufällig ausgewählt worden sei, ist auf die einschlägigen Be-stimmungen des Geschäftsreglements vom 17. April 2008 für das Bundesverwaltungsgericht (VGR, SR 173.320.1) zu verweisen.</w:t>
      </w:r>
    </w:p>
    <w:p>
      <w:r>
        <w:rPr>
          <w:b/>
        </w:rPr>
        <w:t>E. 4.2</w:t>
      </w:r>
    </w:p>
    <w:p>
      <w:r>
        <w:t>Gemäss Art. 21 Abs. 1 VGG entscheiden die Abteilungen des Bundesverwaltungsgerichts in der Regel in der Besetzung mit drei Richtern. Art. 23 Abs. 1 Bst. b VGG sieht vor, dass der Instruktionsrichter oder die Instruktionsrichterin als Einzelrichter beziehungsweise Einzelrichterin über das Nichteintreten auf offensichtlich unzulässige Rechtsmittel entscheidet. Auf dem Gebiet des Asyls entscheiden gemäss Art. 111 Bst. b AsylG die Richter ebenfalls als Einzelrichter über das Nichteintreten auf offensichtlich unzulässige Beschwerden. Vorliegend hat das SEM die angefochtene Verfügung mangelhaft eröffnet, indem es eine falsche Rechtsmittelbelehrung anführte. Aufgrund der sich in diesem Zusammenhang stellenden Frage des Vertrauensschutzes erweist sich die Beschwerde nicht als offensichtlich unzulässig. Der Nichteintretensentscheid ergeht deshalb gestützt auf Art. 21 Abs. 1 VGG in der Besetzung mit drei Richtern.</w:t>
      </w:r>
    </w:p>
    <w:p>
      <w:r>
        <w:rPr>
          <w:b/>
        </w:rPr>
        <w:t>E. 4.3</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