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D-5532/2024 vom 5. August 2024</w:t>
      </w:r>
    </w:p>
    <w:p>
      <w:r>
        <w:t>Bundesverwaltungsgericht, 2024-08-05, DE</w:t>
      </w:r>
    </w:p>
    <w:p>
      <w:r>
        <w:rPr>
          <w:b/>
        </w:rPr>
        <w:t xml:space="preserve">Quelle: </w:t>
      </w:r>
      <w:r>
        <w:t>https://mcp.opencaselaw.ch/entscheid/bvger_D-5532_2024_d20240805</w:t>
      </w:r>
    </w:p>
    <w:p>
      <w:r>
        <w:t>FR: TAF D-5532/2024 du 5 août 2024</w:t>
      </w:r>
    </w:p>
    <w:p>
      <w:r>
        <w:t>IT: TAF D-5532/2024 del 5 agosto 2024</w:t>
      </w:r>
    </w:p>
    <w:p>
      <w:pPr>
        <w:pStyle w:val="Heading2"/>
      </w:pPr>
      <w:r>
        <w:t>Regeste</w:t>
      </w:r>
    </w:p>
    <w:p>
      <w:r>
        <w:t>Vollzug der Wegweisung | Vollzug der Wegweisung; Verfügung des SEM vom 5. August 2024</w:t>
      </w:r>
    </w:p>
    <w:p>
      <w:pPr>
        <w:pStyle w:val="Heading2"/>
      </w:pPr>
      <w:r>
        <w:t>Erwägungen</w:t>
      </w:r>
    </w:p>
    <w:p>
      <w:r>
        <w:rPr>
          <w:b/>
        </w:rPr>
        <w:t>E. 4</w:t>
      </w:r>
    </w:p>
    <w:p>
      <w:r>
        <w:t>keine Anträge gestellt und die Aufhebung dieser Ziffer auch nicht begrün- det wird, dass die Verfügung des SEM vom 5. August 2024 demnach – soweit die Dispositivziffern 1 bis 3 (ZEMIS, Flüchtlingseigenschaft und Asyl) betref- fend – in Rechtskraft erwachsen ist, dass sich die Kognition des Bundesverwaltungsgerichts im Bereich des Ausländerrechts nach Art. 49 VwVG richtet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Rückweisungsantrag nicht ansatzweise begründet wurde und sich aus den Akten auch keine Kassationsgründe ergeben, weshalb der Antrag abzuweisen ist, dass das SEM in der Regel die Wegweisung aus der Schweiz verfügt und den Vollzug anordnet, wenn es das Asylgesuch ablehnt oder darauf nicht eintritt; es berücksichtigt dabei den Grundsatz der Einheit der Familie (Art. 44 AsylG),</w:t>
      </w:r>
    </w:p>
    <w:p>
      <w:r>
        <w:t>D-5532/2024 Seite 4 dass die Beschwerdeführerin in der Schweiz weder über eine ausländer- rechtliche Aufenthaltsbewilligung noch über einen Anspruch auf Erteilung einer solchen verfügt und die Wegweisung demnach zu Recht angeordnet wurde (vgl. BVGE 2013/37 E. 4.4; 2009/50 E. 9, je m.w.H.), dass das SEM das Anwesenheitsverhältnis nach den gesetzlichen Bestim- mungen über die vorläufige Aufnahme regelt, wenn der Vollzug der Weg- weisung nicht zulässig, nicht zumutbar oder nicht möglich ist (Art. 44 AsylG; Art. 83 Abs. 1 AIG [SR 142.20]), dass Wegweisungsvollzugshindernisse zu beweisen und andernfalls we- 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Vollzug der Wegweisung vorliegend in Beachtung dieser mass- geblichen völker- und landesrechtlichen Bestimmungen zulässig ist, da es sich bei der Beschwerdeführerin nicht um einen Flüchtling handelt, wes- halb das in Art. 5 AsylG verankerte Prinzip des flüchtlingsrechtlichen Non- Refoulement im vorliegenden Verfahren keine Anwendung findet und auch keine Anhaltspunkte für eine im Heimat- oder Herkunftsstaat drohende menschenrechtswidrige Behandlung im Sinne von Art. 25 Abs. 3 BV, von Art. 3 des Übereinkommens vom 10. Dezember 1984 gegen Folter und an- 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gerichtlicher Praxis nicht von einer Situation allge- meiner Gewalt oder bürgerkriegsähnlichen Verhältnissen in der gesamten Türkei auszugehen ist (vgl. Referenzurteil BVGer E-4103/2024 vom 8. No- vember 2024 E. 13.2), dass hinsichtlich der Zumutbarkeit des Wegweisungsvollzugs im Übrigen vollumfänglich auf die angefochtene Verfügung (vgl. A41/19 S. 11 f.) ver- wiesen werden kann, zumal die Beschwerdeführerin den diesbezüglichen</w:t>
      </w:r>
    </w:p>
    <w:p>
      <w:r>
        <w:t>D-5532/2024 Seite 5 Ausführungen des SEM nichts Stichhaltiges entgegenzusetzen vermag, womit sich der Vollzug der Wegweisung in allgemeiner wie auch in indivi- dueller Hinsicht als zumutbar erweist, dass es der Beschwerdeführerin obliegt, sich die für ihre Rückkehr allen- falls benötigten Reisedokumente zu beschaffen (Art. 8 Abs. 4 AsylG; vgl. BVGE 2008/34 E. 12) und betreffend ihre diesbezüglichen Möglichkei- ten ebenfalls auf die zutreffenden Ausführungen in der angefochtenen Ver- fügung zu verweisen ist (vgl. A41/19 S. 14), dass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der Beschwerdeführerin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D-5532/2024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