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D-5531/2017 vom 5. Oktober 2017</w:t>
      </w:r>
    </w:p>
    <w:p>
      <w:r>
        <w:t>Bundesverwaltungsgericht, 2017-10-05, DE</w:t>
      </w:r>
    </w:p>
    <w:p>
      <w:r>
        <w:rPr>
          <w:b/>
        </w:rPr>
        <w:t xml:space="preserve">Quelle: </w:t>
      </w:r>
      <w:r>
        <w:t>https://mcp.opencaselaw.ch/entscheid/bvger_D-5531_2017</w:t>
      </w:r>
    </w:p>
    <w:p>
      <w:r>
        <w:t>FR: TAF D-5531/2017 du 5 octobre 2017</w:t>
      </w:r>
    </w:p>
    <w:p>
      <w:r>
        <w:t>IT: TAF D-5531/2017 del 5 ottobre 2017</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(abgesehen von der Sprache) frist- und formgerecht eingereicht. Eine Übersetzung der fremdsprachigen Rechtsmitteleingabe wurde antragsgemäss veranlasst.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bei einer objektivierten Sichtweise überwiegen oder nicht (vgl. BVGE 2015/3 E. 6.5.1; 2013/11 E. 5.1; 2012/5 E. 2.2).</w:t>
      </w:r>
    </w:p>
    <w:p>
      <w:r>
        <w:rPr>
          <w:b/>
        </w:rPr>
        <w:t>E. 5.1</w:t>
      </w:r>
    </w:p>
    <w:p>
      <w:r>
        <w:t>Die Vorinstanz führte zur Begründung ihrer Verfügung im Wesentlichen aus, dass Personen, welche die Behörden in ihrer Identität täuschen würden, nicht glaubhaft machen könnten, dass sie des Schutzes vor Verfolgung im Sinne von Art. 3 Abs. 1 und 2 AsylG bedürften. Zur Identität gehörig gelte gemäss Art. 1a Bst. a der Asylverordnung 1 vom 11. August 1999 (AsylV 1, SR 142.311) unter anderem der Vorname, der Name und das Geburtsdatum der asylsuchenden Person. Zum Nachweis einer Täuschung über die Identität eines Gesuchstellers gemäss Art. 36 Abs. 1 Bst. a AsylG seien nebst den Ergebnissen der erkennungsdienstlichen Behandlung (Daktyloanalyse) auch andere Beweismittel zulässig. Der Beschwerdeführer habe auf dem Personalienblatt sowie in der BzP seine Personalien mit K._______, geboren am (...), angegeben. Ein Fingerabdruckabgleich in der Datenbank CS-VIS habe jedoch ergeben, dass er unter den im Rubrum aufgeführten Personalien ein Visumsantrag bei den zypriotischen Behörden gestellt habe. Im Rahmen der Gewährung des rechtlichen Gehörs zur Identitätstäuschung habe der Beschwerdeführer verneint, dass er A._______, geboren am (...), sei. Der Beschwerdeführer habe die Widersprüche bezüglich seiner Personalien nicht erklären können und sei auch der Aufforderung des SEM, Identitätspapiere einzureichen, die seine geltend gemachte Identität beweisen würden, nicht nachgekommen. Es stehe somit fest, dass er dem SEM vorsätzlich einen falschen Vornamen, Nachnamen sowie ein falsches Geburtsdatum angegeben habe. Somit habe der Beschwerdeführer im Rahmen des Asylverfahrens die Behörden über seine Identität getäuscht. Mit diesem Verhalten habe der Beschwerdeführer nicht glaubhaft machen können, dass er des Schutzes vor Verfolgung im Sinne von Art. 3 Abs. 1 und 2 AsylG bedürfe. Darüber hinaus sei festzustellen, dass die geltend gemachten Asylvorbringen nicht asylrelevant seien. Der schweizerische Bundesrat habe Indien als verfolgungssicheren Heimat- oder Herkunftsstaat bezeichnet, so dass grundsätzlich davon ausgegangen werden könne, dass der Beschwerdeführer in Indien nicht in asylrelevanter Weise verfolgt werde. Der Beschwerdeführer sei indischer Staatsangehöriger und könne jederzeit in sein Heimatland zurückkehren. Der Beschwerdeführer sei jung und gesund. Vor der Ausreise habe er bei seinen Eltern gewohnt. Bei seiner Rückkehr sei die Wohnsituation somit gesichert. Da der Beschwerdeführer eine Flugreise nach Zürich habe bezahlen können, sei davon auszugehen, dass er aus gesicherten finanziellen Verhältnissen stamme, so dass er sich bei einer Rückkehr nach Indien in keiner existenzbedrohenden Situation wiederfinden werde.</w:t>
      </w:r>
    </w:p>
    <w:p>
      <w:r>
        <w:rPr>
          <w:b/>
        </w:rPr>
        <w:t>E. 5.2</w:t>
      </w:r>
    </w:p>
    <w:p>
      <w:r>
        <w:t>In seiner Rechtsmitteleingabe wiederholte der Beschwerdeführer im Wesentlichen seine Vorbringen, die er bereits anlässlich der BzP vorgetragen hat. Ferner bekräftigte er, dass er vorher noch nie in Europa gewesen sei und keinen Visumsantrag in europäischen Ländern gemacht habe.</w:t>
      </w:r>
    </w:p>
    <w:p>
      <w:r>
        <w:rPr>
          <w:b/>
        </w:rPr>
        <w:t>E. 6.1</w:t>
      </w:r>
    </w:p>
    <w:p>
      <w:r>
        <w:t>Nach Überprüfung der Akten ist in erster Linie auf die zutreffenden Erwägungen der vorinstanzlichen Verfügungen zu verweisen. Insbesondere hervorzuheben ist, dass es der Beschwerdeführer trotz mehrmaliger Aufforderung bis heute unterlassen hat, Identitätspapiere nachzureichen, welche seine geltend gemachte Identität bestätigen. Vor diesem Hintergrund ist die wiederholte Behauptung, zuvor niemals in Europa gewesen zu sein, nicht geeignet, das Ergebnis des Datenbankabgleichs, wonach der Beschwerdeführer unter der Identität A._______, geboren am (...), in Zypern ein Touristenvisum für die Slowakei beantragte (vgl. act. A6/1), zu entkräften. Das SEM ist somit zu Recht von einer Identitätstäuschung gemäss Art. 36 Abs. 1 Bst. a AsylG ausgegangen.</w:t>
      </w:r>
    </w:p>
    <w:p>
      <w:r>
        <w:rPr>
          <w:b/>
        </w:rPr>
        <w:t>E. 6.2</w:t>
      </w:r>
    </w:p>
    <w:p>
      <w:r>
        <w:t>Im Übrigen ist dem SEM beizupflichten, dass die geltend gemachten Ereignisse selbst bei Wahrunterstellung als nicht asylrelevant einzustufen wären. Eine asylrelevante Verfolgung durch die indischen Behörden kann vorliegend nämlich bereits aus dem Umstand, dass der Beschwerdeführer offenbar legal mit seinem eigenen Reisepass über den Flughafen H._______ ausreisen konnte, hinlänglich ausgeschlossen werden (vgl. act. A10 F5.01 f.).</w:t>
      </w:r>
    </w:p>
    <w:p>
      <w:r>
        <w:rPr>
          <w:b/>
        </w:rPr>
        <w:t>E. 6.3</w:t>
      </w:r>
    </w:p>
    <w:p>
      <w:r>
        <w:t>Zusammenfassend kann festgehalten werden, dass es dem Beschwerdeführer nicht gelungen ist, mittels den geltend gemachten Fluchtvorbringen die Flüchtlingseigenschaft gemäss Art. 3 AsylG nachzuweisen oder zumindest glaubhaft zu machen. Das SEM hat das Asylgesuch demnach zu Recht abgelehnt.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vorliegend keine Anwendung finden.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vorliegend nicht der Fall. Es besteht kein konkreter Anlass zur Annahme, dem Beschwerdeführer, dem es nicht gelungen ist, eine asylrechtlich beachtliche Verfolgung darzulegen, würde bei einer Rückkehr in sein Heimatland eine menschenrechtswidrige Behandlung drohen. Auch die dortige allgemeine Menschenrechtssituation lässt den Wegweisungsvollzug nicht als unzulässig erscheinen.</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Es ist mit dem SEM einig zu gehen, dass weder die in Indien herrschende politische Situation noch andere Gründe gegen die Zumutbarkeit des Wegweisungsvollzugs sprechen. Es gibt vorliegend keine konkreten Anhaltspunkte dafür, dass der Beschwerdeführer aus individuellen Gründen wirtschaftlicher, sozialer oder gesundheitlicher Natur bei einer Rückkehr in den Heimatstaat in eine existenzbedrohende Situation geraten würde. Der Beschwerdeführer ist jung und gesund, hat das Gymnasium abgeschlossen und war bis zur Ausreise als selbständig Erwerbender tätig. Vor der Ausreise hat der Beschwerdeführer mit seinem Bruder bei seinen Eltern gewohnt und es ist davon auszugehen, dass seine Familie ihm auch nach der Rückkehr unterstützend zur Seite stehen wird.</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nicht als unmöglich zu bezeichnen ist (Art. 83 Abs. 2 AuG).</w:t>
      </w:r>
    </w:p>
    <w:p>
      <w:r>
        <w:rPr>
          <w:b/>
        </w:rPr>
        <w:t>E. 7.5</w:t>
      </w:r>
    </w:p>
    <w:p>
      <w:r>
        <w:t>Der durch die Vorinstanz verfügte Wegweisungsvollzug ist damit zu bestätigen. Eine Anordnung der vorläufigen Aufnahme fällt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Mit vorliegendem Urteil ist das Beschwerdeverfahren abgeschlossen, weshalb sich das Gesuch um Verzicht auf die Erhebung eines Kostenvorschusses als gegenstandslos erweist.</w:t>
      </w:r>
    </w:p>
    <w:p>
      <w:r>
        <w:rPr>
          <w:b/>
        </w:rPr>
        <w:t>E. 10.1</w:t>
      </w:r>
    </w:p>
    <w:p>
      <w:r>
        <w:t>Da die Beschwerdebegehren gemäss den vorstehenden Erwägungen als aussichtslos zu bezeichnen waren, sind die Voraussetzungen zur Gewährung der unentgeltlichen Prozessführung gemäss Art. 65 Abs. 1 VwVG nicht erfüllt, weshalb das entsprechende Gesuch unbesehen der behaupteten Mittellosigkeit abzuweisen ist.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