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D-5530/2017 vom 16. Oktober 2017</w:t>
      </w:r>
    </w:p>
    <w:p>
      <w:r>
        <w:t>Bundesverwaltungsgericht, 2017-10-16, DE</w:t>
      </w:r>
    </w:p>
    <w:p>
      <w:r>
        <w:rPr>
          <w:b/>
        </w:rPr>
        <w:t xml:space="preserve">Quelle: </w:t>
      </w:r>
      <w:r>
        <w:t>https://mcp.opencaselaw.ch/entscheid/bvger_D-5530_2017</w:t>
      </w:r>
    </w:p>
    <w:p>
      <w:r>
        <w:t>FR: TAF D-5530/2017 du 16 octobre 2017</w:t>
      </w:r>
    </w:p>
    <w:p>
      <w:r>
        <w:t>IT: TAF D-5530/2017 del 16 ottobre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 abgesehen von der Sprache - frist- und formgerecht eingereicht. Eine Übersetzung der fremdsprachigen Rechtsmitteleingabe wurde antragsgemäss veranlasst.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die Vorbringen des Beschwerdeführers aufgrund zahlreicher Widersprüche hinsichtlich Zeitangaben und wegen fehlender Substantiiertheit für unglaubhaft. So habe der Beschwerdeführer an der BzP angegeben, Indien am 1. oder 2. September 2017 verlassen zu haben, an der Anhörung hingegen ausgeführt, erst am 3. oder 4. September 2017 ausgereist zu sein. Auf diesen Wiederspruch hingewiesen, habe er erklärt, dass die erste Datumsangabe nur eine ungefähre gewesen sei. Der Beschwerdeführer habe allgemein hinsichtlich Zeitangaben widersprüchliche und ungenaue Angaben gemacht. So habe er in der BzP erwähnt, die Ereignisse im Tempel hätten am 4. Juli stattgefunden, in der Anhörung jedoch ausgesagt, diese Vorfälle hätten sich am 3., 4. oder 5. Juli 2017 ereignet. Einerseits habe er nach dem Meeting circa um 17 bis 18 Uhr in den Tempel geflüchtet sein wollen, andererseits erst zwischen 18 und 19 Uhr. Weiter habe er geltend gemacht, dass nach den Vorfällen drei seiner vier Freunde verhaftet worden seien. In der Anhörung habe er dann zu Protokoll gegeben, dass die Polizei nur zwei seiner Freunde festgenommen habe. Diesen Widerspruch habe er nicht erklären können. Auch hinsichtlich der Anzahl Personen, welche ihn und seine Freunde vor dem Tempel angegriffen hätten, würden unterschiedliche Angaben vorliegen. Dies könne zwar daran liegen, dass er die Anzahl seiner Gegner in der Hitze der Auseinandersetzungen nicht genau habe erfassen können. Unverständlich bleibe jedoch, dass er nicht genau habe angeben können, welche seiner Freunde verhaftet worden seien. Schliesslich habe er nicht substantiiert schildern können, was er nach Verlassen des Tempels getan habe. Auch weitere Aussagen wie diejenigen zu den Ereignissen im Tempel, zu einem Telefongespräch, welches er mit einem Freund geführt habe, oder zu einem Treffen mit einem seiner Freunde, hätten den Eindruck entstehen lassen, dass er das Geschilderte nicht selbst erlebt habe. Insgesamt würden seine Aussagen oberflächlich und wenig differenziert erscheinen, weshalb es dem Beschwerdeführer nicht gelinge, die geltend gemachte Furcht vor Verfolgung in seinem Heimatstaat glaubhaft zu machen. Das SEM prüfte aufgrund der festgestellten Unglaubhaftigkeit der Asylvorbringen deren Asylrelevanz zwar nicht ausdrücklich, führte hierzu aber aus, dass eine Tätlichkeit auf offener Strasse und an einer religiösen Stätte eine Straftat darstelle, welche auch in der Schweiz strafrechtlich verfolgt würde. Eine allgemeinrechtliche Verfolgung einer Straftat in einem Rechtsstaat vermöge keine asylbeachtliche Verfolgung auszulösen. Ausserdem könne aufgrund der Klassifizierung von Indien als verfolgungssicherem Herkunftsstaat davon ausgegangen werden, dass sich der Beschwerdeführer bei Verfolgung durch Dritte an die indischen Behörden wenden könne, welche schutzfähig und schutzwillig seien.</w:t>
      </w:r>
    </w:p>
    <w:p>
      <w:r>
        <w:rPr>
          <w:b/>
        </w:rPr>
        <w:t>E. 5.2</w:t>
      </w:r>
    </w:p>
    <w:p>
      <w:r>
        <w:t>Wie die Vorinstanz in ihrer Verfügung korrekt feststellte, unterscheiden sich die Angaben des Beschwerdeführers hinsichtlich des Zeitablaufs und der Anzahl der angreifenden Personen beziehungsweise seiner verhafteten Freunde gravierend. Zwar ist bei geringfügigen Abweichungen von Datumsangaben nicht vorschnell auf die Unglaubhaftigkeit von Asylvorbringen zu schliessen, da Daten oder einzelne Tage leicht verwechselt und möglicherweise ohne Absicht und aufgrund einer falschen Erinnerung falsch angegeben werden könnten. Vorliegend ist jedoch auffällig, dass zwischen dem Ausreisedatum, an welches sich der Beschwerdeführer angeblich nicht genau hat erinnern können, und der BzP nur sieben und acht Tage lagen. Somit durfte die Vorinstanz vom Beschwerdeführer zu Recht erwarten, dass er nach so kurzer Zeit den genauen Ausreisetag nennen kann. Was vorliegend jedoch als gravierend auffällt, ist, dass der Beschwerdeführer in der BzP, in der Anhörung und in den Ausführungen in seiner Beschwerde jeweils unterschiedliche Handlungsabläufe hinsichtlich der Vorfälle vorträgt. So ist beispielsweise gemäss Aussagen in der BzP sein Freund zwei Wochen nach der Veranstaltung, an welcher der erste Streit stattgefunden haben soll, angegriffen worden, worauf die "älteren Personen" beschlossen hätten, die Sache friedlich zu bereinigen. Sie seien dann zu der Person gegangen, welche seinen Freund angegriffen habe, worauf das Essen und der anschliessende Vorfall im Tempel stattgefunden habe (SEM-Akte A9 7.02). Insgesamt gab es gemäss den Aussagen in der BzP also drei massgebende Ereignisse (die Veranstaltung, einen neuen Angriff und das Essen bei einem der Angreifer mit dem nachfolgenden Streit im Tempel), wobei der Beschluss zur Streitbeilegung durch die "älteren Personen" erfolgte. Bei der Anhörung hingegen schilderte der Beschwerdeführer den Zwischenfall so, dass es an der Veranstaltung eine Schlägerei gegeben habe, sie dann nach Hause gegangen seien und sein Freund (und nicht wie früher angegeben die "älteren Personen") dann vorgeschlagen habe, sich zusammenzusetzen und eine Einigung zu treffen, womit er lediglich zwei Ereignisse erwähnte (A12 F105). Weiter führte der Beschwerdeführer an einer Stelle in der Anhörung an, als sie bei seinem Freund gewesen seien, habe ein gewisser C._______ viel getrunken und sei laut geworden. Sie hätten ihm gesagt, er solle ruhig sein, worauf es Streit gegeben habe (A12 F101). An einer anderen Stelle gab er hingegen an, mit C._______ selbst keine Probleme gehabt zu haben (A12 F108). Der Eindruck, dass der Beschwerdeführer seine Vorbringen oder zumindest Teile davon erfunden hat, wird schliesslich dadurch bestärkt, dass er in seiner Beschwerdebegründung noch einmal einen komplett anderen Ablauf der Geschehnisse schildert. So führt er aus, dass der Friedensschluss einen Tag nach der Veranstaltung und der ersten Schlägerei stattgefunden habe (und nicht erst nach zwei Wochen). Ausserdem sei er am darauffolgenden Tag bei seinem Freund beim Essen gewesen (und nicht wie in der BzP vorgebracht bei einem der Angreifer). Insgesamt lassen die zahlreichen Ungereimtheiten und Widersprüche keinen anderen Schluss zu, als dass die Verfolgungsvorbringen nicht der Wahrheit entsprechen. Das SEM erachtete die geltend gemachten Asylgründe des Beschwerdeführers somit zu Recht als unglaubhaft.</w:t>
      </w:r>
    </w:p>
    <w:p>
      <w:r>
        <w:rPr>
          <w:b/>
        </w:rPr>
        <w:t>E. 5.3</w:t>
      </w:r>
    </w:p>
    <w:p>
      <w:r>
        <w:t>Selbst wenn sich diese Vorfälle wie vorgebracht zugetragen haben sollten, wären diese als nicht asylrelevant zu bewerten. Eine asylrelevante Verfolgung durch die indischen Behörden kann vorliegend nämlich bereits aus dem Umstand, dass der Beschwerdeführer offenbar legal mit seinem eigenen Reisepass über den Flughafen Amritsar ausreisen konnte, hinlänglich ausgeschlossen werden (vgl. SEM-Akte A9 F. 5.01 f.). Zudem ist der Vorinstanz beizupflichten, dass die Flucht vor einer rechtsstaatlich legitimen Strafverfolgung im Heimatstaat grundsätzlich keinen Grund für die Anerkennung der Flüchtlingseigenschaft und für die Asylgewährung darstellt (vgl. hierzu BVGE 2013/25 E. 5.1). Da der Beschwerdeführer in eine Schlägerei verwickelt gewesen wäre und diese teilweise in einem Tempel stattgefunden hätte, wäre er in eine Straftat verwickelt gewesen, womit er zu Recht von der Polizei gesucht würde. Sollte ihm hingegen von privater Seite (namentlich wie vorgebracht durch die Sikh-Gemeinschaft) mit dem Tod gedroht werden, ist darauf zu verweisen, dass es sich dabei um einen Konflikt mit privaten Dritten handelt, welcher nur asylrelevant wäre, wenn der Staat nicht schutzfähig oder schutzwillig wäre. Da Indien jedoch zu den sicheren Heimat- oder Herkunftsstaaten im Sinne von Art. 6a Abs. 2 Bst. a AsylG zählt, ist von dieser Schutzfähigkeit und Schutzwilligkeit auszugehen. Schliesslich ist ergänzend auf eine allfällige innerstaatliche Schutzalternative zu verweisen, wobei der Beschwerdeführer sich gegebenenfalls - sollte es wider Erwarten zu Nachteilen nach der Rückkehr kommen - zusammen mit seiner Familie in einem anderen (hinduistisch geprägten) Landesteil Indiens niederlassen könnte, in welchem die Religionsgemeinschaft der Sikh weniger oder gar nicht verbreitet ist, womit er sich diesen Nachteilen entziehen könnte.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Heimatstaat lässt den Wegweisungsvollzug zum heutigen Zeitpunkt klarerweise nicht als unzulässig erscheinen. Nach dem Gesagten ist der Vollzug der Wegweisung sowohl im Sinne der landes- als auch der völkerrechtlichen Bestimmungen zulässig. In Indien herrschen weder Krieg, Bürgerkrieg noch allgemeine Gewalt.</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Wie das SEM in seiner Verfügung zu Recht ausführte, gibt es vorliegend keine konkreten Anhaltspunkte dafür, dass der Beschwerdeführer aus individuellen Gründen wirtschaftlicher, sozialer oder gesundheitlicher Natur bei einer Rückkehr in den Heimatstaat in eine existenzbedrohende Situation geraten würde. Der Beschwerdeführer ist jung und gesund, hat die Schule abgeschlossen, wurde nach Abschluss der Schule von seinem Vater finanziert und hatte als Sicherheitsverantwortlicher bis zu seiner Ausreise ein eigenes Erwerbseinkommen. Vor der Ausreise wohnte er mit seiner Schwester bei seinen Eltern. Folglich ist davon auszugehen, dass seine Familie ihn auch nach der Rückkehr unterstützen wird.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Verzicht auf die Erhebung eines Kostenvorschusses ist mit vorliegendem Entscheid gegenstandslos geworden.</w:t>
      </w:r>
    </w:p>
    <w:p>
      <w:r>
        <w:rPr>
          <w:b/>
        </w:rPr>
        <w:t>E. 10.1</w:t>
      </w:r>
    </w:p>
    <w:p>
      <w:r>
        <w:t>Da die Beschwerdebegehren von vornherein als aussichtslos zu bezeichnen waren, sind die Voraussetzungen zur Gewährung der unentgeltlichen Rechtspflege gemäss Art. 65 Abs. 1 VwVG nicht erfüllt, weshalb das entsprechende Gesuch, unbesehen der geltend gemachten Bedürftigkeit,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