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D-5527/2014 vom 1. April 2015</w:t>
      </w:r>
    </w:p>
    <w:p>
      <w:r>
        <w:t>Bundesverwaltungsgericht, 2015-04-01, DE</w:t>
      </w:r>
    </w:p>
    <w:p>
      <w:r>
        <w:rPr>
          <w:b/>
        </w:rPr>
        <w:t xml:space="preserve">Quelle: </w:t>
      </w:r>
      <w:r>
        <w:t>https://mcp.opencaselaw.ch/entscheid/bvger_D-5527_2014</w:t>
      </w:r>
    </w:p>
    <w:p>
      <w:r>
        <w:t>FR: TAF D-5527/2014 du 1 avril 2015</w:t>
      </w:r>
    </w:p>
    <w:p>
      <w:r>
        <w:t>IT: TAF D-5527/2014 del 1 aprile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(vgl. dazu Art. 83 Bst. c Ziff. 1 BGG).</w:t>
      </w:r>
    </w:p>
    <w:p>
      <w:r>
        <w:rPr>
          <w:b/>
        </w:rPr>
        <w:t>E. 1.2</w:t>
      </w:r>
    </w:p>
    <w:p>
      <w:r>
        <w:t>Sofern das VGG oder die jeweilige Spezialgesetzgebung nichts anderes bestimmt, richtet sich das Verfahren nach dem VwVG (Art. 37 VGG).</w:t>
      </w:r>
    </w:p>
    <w:p>
      <w:r>
        <w:rPr>
          <w:b/>
        </w:rPr>
        <w:t>E. 1.3</w:t>
      </w:r>
    </w:p>
    <w:p>
      <w:r>
        <w:t>Der Beschwerdeführer ist zur Beschwerdeführung legitimiert (Art. 48 Abs. 1 VwVG), zumal er als Gastgeber der Gesuchstellenden in eigenem Namen gegen die ablehnenden Visa-Entscheide vom 7. März 2014 Ein­sprache erhoben hat und Adressat des angefochtenen Entscheids der Vorinstanz ist (vgl. BVGE 2014/1 E. 1.3). Auf die frist- und formgerecht eingereichte Beschwerde (vgl. Bst. G) ist somit einzutreten (Art. 50 und 52 VwVG).</w:t>
      </w:r>
    </w:p>
    <w:p>
      <w:r>
        <w:rPr>
          <w:b/>
        </w:rPr>
        <w:t>E. 1.4</w:t>
      </w:r>
    </w:p>
    <w:p>
      <w:r>
        <w:t>Die Beschwerde erweist sich als zum vornherein unbegründet, weshalb auf die Durchführung eines Schriftenwechsels verzichtet worden ist (Art. 57 Abs. 1 VwVG e contrario).</w:t>
      </w:r>
    </w:p>
    <w:p>
      <w:r>
        <w:rPr>
          <w:b/>
        </w:rPr>
        <w:t>E. 2</w:t>
      </w:r>
    </w:p>
    <w:p>
      <w:r>
        <w:t>Mit Beschwerde kann die Verletzung von Bundesrecht einschliesslich Überschreitung oder Missbrauch des Ermessens, unrichtige oder unvollständige Feststellung des rechtserheblichen Sachverhaltes und - sofern nicht eine kantonale Behörde als Beschwerdeinstanz verfügt hat - Unangemessenheit gerügt werden (Art. 49 VwVG).</w:t>
      </w:r>
    </w:p>
    <w:p>
      <w:r>
        <w:rPr>
          <w:b/>
        </w:rPr>
        <w:t>E. 3</w:t>
      </w:r>
    </w:p>
    <w:p>
      <w:r>
        <w:t>Dem angefochtenen Entscheid liegen Gesuche um Erteilung von Schengen-Visa (sowie sinngemäss Visa aus humanitären Gründen) zugrunde. Die im AuG (SR 142.20) und seinen Ausführungsbestimmungen enthaltenen Regelungen über das Visumsverfahren und über die Ein- und Ausreise gelangen nur soweit zur Anwendung, als die Schengen-Assoziierungsabkommen keine abweichenden Bestimmungen enthalten (Art. 2 Abs. 2 bis 5 AuG).</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 BVGE 2014/1 E. 4.1).</w:t>
      </w:r>
    </w:p>
    <w:p>
      <w:r>
        <w:rPr>
          <w:b/>
        </w:rPr>
        <w:t>E. 4.2</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Art. 2 VEV i.V.m. Art. 5 Abs. 1 Schengener Grenzkodex; Art. 14 Abs. 1 Bst. a-c und Art. 21 Abs. 1 Visakodex).</w:t>
      </w:r>
    </w:p>
    <w:p>
      <w:r>
        <w:rPr>
          <w:b/>
        </w:rPr>
        <w:t>E. 4.3</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4.4</w:t>
      </w:r>
    </w:p>
    <w:p>
      <w:r>
        <w:t>Gemäss Art. 2 Abs. 4 VEV können das Eidgenössische Departement für auswärtige Angelegenheiten (EDA) und das SEM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5</w:t>
      </w:r>
    </w:p>
    <w:p>
      <w:r>
        <w:t>Die Gesuchstellenden unterliegen als syrische Staatsangehörige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Der zentrale Vorbehalt des SEM (damals BFM) gegen die Erteilung ordentlicher Besucher-Visa, dass nämlich nicht darauf geschlossen werden könne, die Gesuchstellenden würden nach Ablauf der maximalen Visa-Dauer von 90 Tagen die Schweiz respektive den Schengen-Raum anstandslos verlassen und wieder in ihre Heimat zurückkehren, kann auch auf Beschwerdestufe nicht entkräftet werden, zumal der Beschwerdeführer ausführte, die Gesuchstellenden könnten aufgrund der gegenwärtigen Lage unmöglich nach Syrien zurückkehren (vgl. Formular des Amtes für Migration vom 6. August 2014). Aufgrund des in Syrien herrschenden Bürgerkrieges kann dem Vorbringen des Beschwerdeführers, er könne die anstandslose und fristgerechte Wiederausreise der Gesuchstellenden zusichern, nicht geglaubt werden. Die Erteilung eines Visums mit Gültigkeit für den gesamten Schengen-Raum fällt demnach nicht in Betracht. Im Folgenden ist somit zu prüfen, ob das BFM zu Recht auch die Erteilung eines Einreisevisums in die Schweiz aus humanitären Gründen abgelehnt hat.</w:t>
      </w:r>
    </w:p>
    <w:p>
      <w:r>
        <w:rPr>
          <w:b/>
        </w:rPr>
        <w:t>E. 6.1</w:t>
      </w:r>
    </w:p>
    <w:p>
      <w:r>
        <w:t>Zunächst ist in Übereinstimmung mit der Vorinstanz festzustellen, dass die inzwischen vollumfänglich aufgehobene Ausnahmeregelung für syrische Familienangehörige (vgl. Weisung "Erleichterte Erteilung von Besucher-Visa für syrische Familienangehörige" vom 4. September 2013, aufgehoben am 29. November 2013), mit welcher aufgrund der Lage in Syrien für Personen mit Verwandten in der Schweiz aus humanitären Gründen von den ordentlichen Einreisevoraussetzungen abgewichen wurde, nicht zur Anwendung gelangt, da die Visaanträge nach der Aufhebung der Weisung eingereicht wurden.</w:t>
      </w:r>
    </w:p>
    <w:p>
      <w:r>
        <w:rPr>
          <w:b/>
        </w:rPr>
        <w:t>E. 6.2</w:t>
      </w:r>
    </w:p>
    <w:p>
      <w:r>
        <w:t>Weiter kann, wenn die Voraussetzungen für die Ausstellung eines für den gesamten Schengen-Raum geltenden Visums nicht erfüllt sind,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Die Möglichkeit einer Visumserteilung aus humanitären Gründen hat für die Schweiz an Bedeutung gewonnen, da mit der dringlichen Änderung des Asylgesetzes vom 28. September 2012 (AS 2012 5359) die Bestimmungen betreffend die Stellung von Asylgesuchen aus dem Ausland aufgehoben wurden. Da im Einzelfall jedoch nicht ausgeschlossen werden kann, dass Personen, die Schutz vor asylrechtlicher Verfolgung geltend machen, bei den schweizerischen Vertretungen vorsprechen und um die Einreise in die Schweiz ersuchen, wurde in Art. 2 Abs. 4 und Art. 12 Abs. 4 VEV die Möglichkeit verankert, aus humanitären Gründen und mit Zustimmung des BFM ein Einreisevisum zu erteilen. Zwecks Konkretisierung dieser Bestimmungen wurde am 28. September 2012 vom EJPD in Absprache mit dem EDA die Weisung Nr. 322.126 "Visumsantrag aus humanitären Gründen" erlassen (vgl. überarbeitete Version Weisung des BFM vom 25. Februar 2014). Wird einer Person auf dieser Grundlage ein humanitäres Visum erteilt, so hat sie nach ihrer Einreise in die Schweiz ein Asylgesuch einzureichen. Falls die Person dies unterlässt, hat sie die Schweiz nach drei Monaten wieder zu verlassen. Der Bundesrat hielt dazu in seiner Botschaft fest, einfachere Verfahrensabläufe im Vergleich zum aufgehobenen Asylverfahren bei einem Asylgesuch im Ausland bestünden insbesondere aus dem Grund, dass keine asylverfahrensrechtliche Befragung der gesuchstellenden Person stattzufinden habe (vgl. dazu Botschaft vom 26. Mai 2010, BBl 2010 S. 4490, 4519 f.).</w:t>
      </w:r>
    </w:p>
    <w:p>
      <w:r>
        <w:rPr>
          <w:b/>
        </w:rPr>
        <w:t>E. 6.3</w:t>
      </w:r>
    </w:p>
    <w:p>
      <w:r>
        <w:t>Gemäss der erwähnten Weisung vom 28. September 2012 beziehungsweise der überarbeiteten Fassung vom 25. Februar 2014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damit definierten Einreisevoraussetzungen sind restriktiver gefasst als bei den altrechtlichen Asylgesuchen aus dem Ausland, auch wenn bereits im Falle von Asylgesuchen aus dem Ausland Einreisebewilligungen nur sehr zurückhaltend erteilt wurden (vgl. dazu BVGE 2011/10 E. 3.3). Auf diese Stossrichtung wurde vom Bundesrat im Rahmen seiner Botschaft zur vorgenannten Asylgesetzrevision ausdrücklich hingewiesen (vgl. Botschaft vom 26. Mai 2010; BBl 2010 S. 4468, 4490 und 4520). Auf der anderen Seite versteht es sich von selbst, dass im Falle eines Visums aus humanitären Gründen, welches nur bei Vorliegen einer beachtlichen unmittelbaren und ernsthaften konkreten Gefahr erteilt wird, die Einreisevoraussetzung entfällt, wonach die betroffene Person die rechtzeitige Wiederausreise aus der Schweiz zu belegen hat. Es wird vielmehr davon ausgegangen, dass die Person ein Asylgesuch einreicht, sobald sie sich in der Schweiz befindet, ansonsten sie die Schweiz innert 90 Tagen wieder zu verlassen hätte.</w:t>
      </w:r>
    </w:p>
    <w:p>
      <w:r>
        <w:rPr>
          <w:b/>
        </w:rPr>
        <w:t>E. 7</w:t>
      </w:r>
    </w:p>
    <w:p>
      <w:r>
        <w:t>Vorauszuschicken ist, dass sich die Vorinstanz argumentativ auf die Weisung vom 25. Februar 2014 bezieht, welche den offenen Begriff "humanitäre Gründe" als eine unmittelbare, ernsthafte und konkrete Gefährdung an Leib und Leben konkretisiert. Bei dieser Weisung handelt es sich um eine vollzugslenkende Verwaltungsverordnung, welche als solche für das Gericht grundsätzlich nicht verbindlich ist. Sie ist gleichwohl zu berücksichtigen, sofern sie eine dem Einzelfall angepasste und gerecht werdende Auslegung der anwendbaren gesetzlichen Bestimmungen zulässt. Das Gericht weicht in solchen Fällen daher nicht ohne triftigen Grund von der Weisung ab (vgl. BGE 137 V 1 E. 5.2.3 und 132 V 200 E. 5.1.2). Die Weisung "Visumsantrag aus humanitären Gründen", die den Begriff "humanitäre Gründe" in wörtlicher Übereinstimmung mit der Botschaft (BBl 2010 4490) definiert, erfüllt diese Voraussetzung, so dass sie vom Gericht einzelfallbezogen als sachgerechte Konkretisierung der humanitären Gründe Berücksichtigung findet. Nach Prüfung der Akten gelangt das Bundesverwaltungsgericht zum Schluss, dass die über­zeugenden Ausführungen der Vorinstanz zu stützen sind, wonach die Voraussetzungen für die Erteilung eines humanitären Visums vorliegend nicht erfüllt sind. Zur Vermeidung von Wiederholungen kann diesbezüglich auf die zutreffenden Erwägungen im angefochtenen Einspracheentscheid verwiesen werden. Insbesondere ist hervorzuheben, dass sich der Beschwerdeführer in seiner Eingabe vom 21. Juli 2014 bereit erklärte, die Gesuchstellenden bei sich aufzunehmen und finanziell für sie zu sorgen. Wenn nun in der Replik ausgeführt wird, der Zugang zur medizinischen Betreuung sei in der Türkei aufgrund von fehlenden Finanzen nicht oder nur sehr erschwert möglich, so kann dem nicht gefolgt werden. Insbesondere ist nicht ersichtlich und wird auch nicht dargelegt, weshalb es dem Beschwerdeführer offenbar zwar möglich sein soll, die finanzielle Verantwortung für zwei Erwachsene und ein zehnjähriges Kind in der Schweiz zu übernehmen, er jedoch nicht in der Lage sein soll, finanzielle Hilfestellung im Zusammenhang mit der (medizinischen) Notversorgung des Gesuchstellers zu leisten. Der eingereichte Arztbericht des Azadi Teaching Hospital in Dohuk (Nordirak) ist im Übrigen auch so zu interpretieren, dass der Gesuchsteller dort bereits Zugang zu Grundversorgung erhalten hat und notfalls mithilfe der finanziellen Unterstützung des Beschwerdeführers auch erhalten wird. Im Übrigen befinden sich die Gesuchstellenden weiterhin im Irak und damit in einem Drittstaat. Dass sie dort unmittelbar, ernsthaft und konkret an Leib und Leben gefährdet sind, so dass ein behördliches Eingreifen zwingend erforderlich und die Erteilung eines Einreisevisums gerechtfertigt wäre, vermag der Beschwerdeführer dabei nicht aufzuzeigen. Es ist davon auszugehen, dass die Gefährdung, vor welcher die Gesuchstellenden aus ihrem Heimatland geflüchtet sind, in der Türkei beziehungsweise im Nordirak nicht mehr besteht. Schliesslich liegen auch keine Anzeichen dafür vor, dass sie eine Ausschaffung nach Syrien zu befürchten hätten.</w:t>
      </w:r>
    </w:p>
    <w:p>
      <w:r>
        <w:rPr>
          <w:b/>
        </w:rPr>
        <w:t>E. 8</w:t>
      </w:r>
    </w:p>
    <w:p>
      <w:r>
        <w:t>Aus diesen Erwägungen ergibt sich, dass die angefochtene Verfügung Bundesrecht nicht verletzt und den rechtserheblichen Sachverhalt richtig sowie vollständig feststellt und angemessen ist (Art. 49 VwVG). Die Beschwerde ist abzuweisen.</w:t>
      </w:r>
    </w:p>
    <w:p>
      <w:r>
        <w:rPr>
          <w:b/>
        </w:rPr>
        <w:t>E. 9</w:t>
      </w:r>
    </w:p>
    <w:p>
      <w:r>
        <w:t>Bei diesem Ausgang des Verfahrens wären dessen Kosten dem Beschwerdeführer aufzuerlegen (Art. 63 Abs. 1 und 5 VwVG). Nachdem das Gesuch um unentgeltliche Rechtspflege gestützt auf Art. 65 Abs. 1 VwVG gutgeheissen wurde, ist auf die Auferlegung von Verfahrenskosten zu verzichten. Angesichts des Ausgangs des Verfahrens fällt die Zusprechung einer Parteientschädigung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