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D-5524/2021 vom 21. November 2022</w:t>
      </w:r>
    </w:p>
    <w:p>
      <w:r>
        <w:t>Bundesverwaltungsgericht, 2022-11-21, DE</w:t>
      </w:r>
    </w:p>
    <w:p>
      <w:r>
        <w:rPr>
          <w:b/>
        </w:rPr>
        <w:t xml:space="preserve">Quelle: </w:t>
      </w:r>
      <w:r>
        <w:t>https://mcp.opencaselaw.ch/entscheid/bvger_D-5524_2021</w:t>
      </w:r>
    </w:p>
    <w:p>
      <w:r>
        <w:t>FR: TAF D-5524/2021 du 21 novembre 2022</w:t>
      </w:r>
    </w:p>
    <w:p>
      <w:r>
        <w:t>IT: TAF D-5524/2021 del 21 novembre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(Art.﷢108 Abs. 6 AsylG und Art. 52 Abs. 1 VwVG). Der Beschwerdeführer hat am Ver- fahren vor der Vorinstanz teilgenommen, ist durch die angefochtene Verfü- gung besonders berührt und hat ein schutzwürdiges Interesse an deren</w:t>
      </w:r>
    </w:p>
    <w:p>
      <w:r>
        <w:t>D-5524/2021 Seite 5 Aufhebung beziehungsweise Änderung. Er ist daher zur Einreichung der Beschwerde legitimiert (Art. 48 Abs. 1 VwVG). Auf die Beschwerde ist ein- zutreten.</w:t>
      </w:r>
    </w:p>
    <w:p>
      <w:r>
        <w:rPr>
          <w:b/>
        </w:rPr>
        <w:t>E. 2</w:t>
      </w:r>
    </w:p>
    <w:p>
      <w:r>
        <w:t>Aus den Anträgen in der Beschwerdeschrift (hiervor D.) ergibt sich, dass die Verneinung der Flüchtlingseigenschaft und Ablehnung des Asylgesu- ches nicht angefochten wurden, so dass diese nicht Beschwerdegegen- stand sind. Die Ziffern 1 und 2 des Dispositivs der vorinstanzlichen Verfü- gung sind daher mit Ablauf der Beschwerdefrist in Rechtskraft erwachsen.</w:t>
      </w:r>
    </w:p>
    <w:p>
      <w:r>
        <w:rPr>
          <w:b/>
        </w:rPr>
        <w:t>E. 3</w:t>
      </w:r>
    </w:p>
    <w:p>
      <w:r>
        <w:t>Die Kognition des Bundesverwaltungsgerichts und die zulässigen Rügen richten sich im Bereich des Ausländerrechts nach Art. 49 VwVG (vgl. BVGE 2014/26 E. 5).</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Da die mit Urteil vom 29. August 2022 des Bezirksgerichts Dietikon angeordnete Landesverweisung bisher nach Ak- tenlage nicht rechtkräftig geworden ist, wäre die Anordnung einer vorläufi- gen Aufnahme aktuell noch möglich (vgl. Art. 83 Abs. 9 AIG e contrario).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D-5524/2021 Seite 6</w:t>
      </w:r>
    </w:p>
    <w:p>
      <w:r>
        <w:rPr>
          <w:b/>
        </w:rPr>
        <w:t>E. 5.2.1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5.2.2</w:t>
      </w:r>
    </w:p>
    <w:p>
      <w:r>
        <w:t>Die Vorinstanz wies in ihrer angefochtenen Verfügung zutreffend da- rauf hin, dass das Prinzip des flüchtlingsrechtlichen Non-Refoulement nur Personen schützt, die die Flüchtlingseigenschaft erfüllen. Da der Beschwerdeführer die Verneinung seiner Flüchtlingseigenschaft und Ab- lehnung des Asylgesuchs nicht angefochten hat und eine asylrechtlich er- hebliche Gefährdung weder geltend gemacht ist noch anderweitig Indizien für das Bestehen einer solchen Gefahr bestehen, kann der in Art. 5 AsylG verankerte Grundsatz der Nichtrückschiebung im vorliegenden Verfahren keine Anwendung finden. Eine Anordnung des Vollzugs der Wegweisung in den Heimatstaat ist demnach unter dem Aspekt von Art. 5 AsylG recht- mässig.</w:t>
      </w:r>
    </w:p>
    <w:p>
      <w:r>
        <w:rPr>
          <w:b/>
        </w:rPr>
        <w:t>E. 5.2.3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Marokko lässt den Wegweisungsvollzug zum heutigen Zeitpunkt nicht als unzulässig</w:t>
      </w:r>
    </w:p>
    <w:p>
      <w:r>
        <w:t>D-5524/2021 Seite 7 erscheinen (vgl. statt vieler: Urteil des Bundesverwaltungsgerichts D-2391/2022 vom 30. Juni 2022 E. 9.3).</w:t>
      </w:r>
    </w:p>
    <w:p>
      <w:r>
        <w:rPr>
          <w:b/>
        </w:rPr>
        <w:t>E. 5.2.4</w:t>
      </w:r>
    </w:p>
    <w:p>
      <w:r>
        <w:t>Auch eine zwangsweise Rückweisung von Personen mit gesundheit- lichen Problemen kann einen Verstoss gegen Art. 3 EMRK darstellen, al- lerdings müssten die belegten gesundheitlichen Probleme des Beschwer- deführers die von der Rechtsprechung geforderte Schwelle erreichen (vgl. zu den Anforderungen einerseits BVGE 2011/9 E. 7, mit Hinweisen auf die damalige Praxis des EGMR, sowie zur neueren Praxis des EGMR das Ur- teil Paposhvili gegen Belgien vom 13. Dezember 2016, Grosse Kammer 41738/10, §§ 180–193 m.H. und BVGE 2017 VI/7 E. 6.2). Diese Schwelle ist nicht erreicht, da ausreichende und konkrete Anhaltspunkte dafür, dass sich die gesundheitliche Situation des Beschwerdeführers bei einer Rück- führung nach Marokko erheblich verschlechtern würde, weder geltend ge- macht sind noch sich anderweitig den Akten entnehmen lassen. Auch die geltend gemachte Suizidalität spricht nicht gegen die Zulässigkeit des Voll- zuges der Wegweisung, da eine allfällige Selbstmordgefahr gemäss der bundesgerichtlichen Rechtsprechung allein kein Vollzugshindernis darstellt (vgl. Urteil des Bundesgerichts 2C_856/2015 vom 10. Oktober 2015 E. 3.2.1) und dies auch der Praxis des Bundesverwaltungsgerichts ent- spricht (vgl. anstelle vieler: BVGer-Urteil F-693/2018 vom 9. Februar 2018). Darüber hinaus kann einer allfällig wieder akzentuierten Gefahr, dass der Beschwerdeführer bei einer Aufenthaltsbeendigung seinem Leben ein Ende setzen könnte, bei einem zwangsweisen Wegweisungsvollzug mit geeigneten Massnahmen der Vollzugsbehörden, beispielsweise durch das Treffen adäquater medizinischer Massnahmen, hinreichend Rechnung ge- tragen werden.</w:t>
      </w:r>
    </w:p>
    <w:p>
      <w:r>
        <w:rPr>
          <w:b/>
        </w:rPr>
        <w:t>E. 5.2.5</w:t>
      </w:r>
    </w:p>
    <w:p>
      <w:r>
        <w:t>Nach dem Gesagten ist der Vollzug der Wegweisung sowohl im Sinne der asyl- als auch der völkerrechtlichen Bestimmungen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D-5524/2021 Seite 8</w:t>
      </w:r>
    </w:p>
    <w:p>
      <w:r>
        <w:rPr>
          <w:b/>
        </w:rPr>
        <w:t>E. 5.3.2</w:t>
      </w:r>
    </w:p>
    <w:p>
      <w:r>
        <w:t>In Marokko herrscht weder Krieg, Bürgerkrieg noch eine Situation all- gemeiner Gewalt, aufgrund derer die Zivilbevölkerung als konkret gefähr- det bezeichnet werden müsste. Der Wegweisungsvollzug ist daher grund- sätzlich zumutbar (vgl. statt vieler: BVGer-Urteil D-2305/2021 vom 25. Mai 2021 E. 8.3.1).</w:t>
      </w:r>
    </w:p>
    <w:p>
      <w:r>
        <w:rPr>
          <w:b/>
        </w:rPr>
        <w:t>E. 5.3.3</w:t>
      </w:r>
    </w:p>
    <w:p>
      <w:r>
        <w:t>Bei medizinischen Problemen kann nach der Rechtsprechung aller- dings dann auf Unzumutbarkeit des Wegweisungsvollzugs erkannt wer- den, wenn eine notwendige medizinische Behandlung im Heimatland nicht zur Verfügung steht und die Rückkehr zu einer raschen und lebensgefähr- denden Beeinträchtigung des Gesundheitszustands der betroffenen Per- son führen würde. Dabei wird als wesentlich die allgemeine und dringende medizinische Behandlung erachtet, welche zur Gewährleistung einer men- schenwürdigen Existenz absolut notwendig ist. Unzumutbarkeit liegt nicht allein deswegen vor, weil im Heimat- oder Herkunftsstaat keine dem schweizerischen Standard entsprechende medizinische Behandlung mög- lich ist (vgl. etwa BVGE 2011/50 E. 8.3 und 2009/2 E. 9.3.1 je m.w.H.).</w:t>
      </w:r>
    </w:p>
    <w:p>
      <w:r>
        <w:rPr>
          <w:b/>
        </w:rPr>
        <w:t>E. 5.3.4</w:t>
      </w:r>
    </w:p>
    <w:p>
      <w:r>
        <w:t>Die umfassend dokumentierten gesundheitlichen Probleme des Be- schwerdeführers werden vom Gericht nicht in Abrede gestellt, jedoch sind diese nach Durchsicht der Akten nicht als derart gravierend zu qualifizie- ren, dass sie bei einer Rückkehr nach Marokko zu einer raschen und le- bensgefährdenden Beeinträchtigung des Gesundheitszustands führen würden. Ebenso wenig lassen die geltend gemachten psychischen Prob- leme des Beschwerdeführers auf eine medizinische Notlage schliessen, die in seinem Heimatland nicht behandelbar wäre. Das SEM verweist in der angefochtenen Verfügung zu Recht auf die medizinischen Behand- lungsmöglichkeiten, welche dem Beschwerdeführer bei einer Rückkehr in seine Heimat zur Verfügung stehen. Marokko verfügt generell über ein gut entwickeltes Gesundheitssystem und es darf davon ausgegangen werden, dass eine adäquate medizinische (Weiter-)Behandlung der gesundheitli- chen Probleme des Beschwerdeführers dort möglich ist. Der Beschwerde- führer lebte in B._______ und Marokko verfügt heutzutage insbesondere in seinen urbanen Zentren – zu welchen gerade auch B._______ zählt – über eine genügende Anzahl medizinischer Einrichtungen, wobei allfällige Einbussen des Betreuungsstandards im Vergleich mit der Schweiz nicht zur Unzumutbarkeit des Wegweisungsvollzugs zu führen vermögen. Hin- sichtlich der in der Beschwerde geltend gemachten psychischen Probleme des Beschwerdeführers, die nach seinen Angaben auf den als traumatisch empfundenem Unfalltod seines Vaters im Jahr 2012, den er mitangesehen</w:t>
      </w:r>
    </w:p>
    <w:p>
      <w:r>
        <w:t>D-5524/2021 Seite 9 habe, zurückzuführen sind, ist festzuhalten, dass in Marokko auch psychi- atrische oder psychologische Therapien verfügbar sind (vgl. BVGer-Urteil D-4062/2020 vom 10. Februar 2021 E. 7.3.2) und der Zugang zu ambulan- ten psychologischen und psychiatrischen Behandlungen gewährleistet ist. Der Verweis in der Rechtsmitteleingabe auf zwei Berichte zur Gesundheits- versorgung in Marokko aus den Jahren 2015 und 2016 (Beschwerde S. 7) vermag an dieser Einschätzung nichts zu ändern, zumal sich der Bericht der Schweizerischen Flüchtlingshilfe SFH aus dem Jahr 2016 auf Meknes bezieht und nicht auf B._______, den Herkunftsort des Beschwerdefüh- rers. Zudem wird auch in dem in der Beschwerde zitierten Bericht des SEM aus dem Jahr 2015 aufgezeigt, dass in den urbanen Zentren eine gut aus- gebaute medizinische Infrastruktur vorhanden ist (vgl. SEM, Fokus Ma- rokko: Gesundheitsversorgung, 25.02.2015, S. 32). Bezüglich des Ein- wands fehlender Mittel zur Finanzierung von medizinischer Behandlungen ist festzuhalten, dass in Marokko mit den Leistungen der staatlichen Ge- sundheitsversorgung für Bedürftige (RAMED; Régime d'Assistance Médi- cale) ein System zur Sicherung der medizinischen Grundversorgung be- steht, mit dem auch wirtschaftlich bedürftigen Personen der Zugang zum Gesundheitssystem gewährt wird (vgl. hierzu BVGer-Urteile D-2305/2021 vom 25. Mai 2021 E. 8.3.2, E-1324/2021 vom 16. April 2021 E. 9.3.3 und D-4062/2020 vom 10. Februar 2021 E. 7.3.2) und dieses System die Grundbedürfnisse abdeckt (vgl. SEM a.a.O., S. 30). Damit wird nicht in Ab- rede gestellt, dass spezialisierte medizinische Behandlung in Marokko teil- weise nur gegen Bezahlung zur Verfügung steht, sondern lediglich klarge- stellt, dass eine kostenfreie Grundversorgung gegeben ist. Zur Überbrü- ckung möglicher finanzieller Schwierigkeiten in Zusammenhang mit einer notwendigen Behandlung ist auf die Möglichkeit der individuellen medizini- schen Rückkehrhilfe zu verweisen (Art. 93 Abs. 1 Bst. d AsylG i.V.m. Art. 75 der Asylverordnung 2 vom 11. August 1999 [AsylV 2, SR 142.312]). Zwar ist eine auf Dauer ausgerichtete Hilfe ausgeschlossen (Art. 75 Abs. 1 AsylV 2), eine zeitlich limitierte Unterstützung dürfte dem Beschwerdefüh- rer aber in hinreichendem Masse ermöglichen, jedenfalls die Aufnahme ei- ner allenfalls benötigten medizinischen Betreuung abzusichern. Hinzu kommt, dass seinen eigenen Aussagen gemäss seine Familie ihn auch während der zwischenzeitlichen Rückkehr im Jahr 2019 in dieser Hinsicht finanziell unterstützt hat und nicht ersichtlich ist, warum diese ausschliess- lich aufgrund der vorherigen Unterstützung durch den Beschwerdeführer möglich gewesen sein soll (vgl. Beschwerde S. 8), insbesondere da der Beschwerdeführer noch weitere Verwandte (inklusive seines Bruders) auch im europäischen Ausland hat, die in solchen Situationen mit hoher</w:t>
      </w:r>
    </w:p>
    <w:p>
      <w:r>
        <w:t>D-5524/2021 Seite 10 Wahrscheinlichkeit Unterstützung leisten würden. Entgegen der Beschwer- devorbringen ist daher weder bewiesen noch zumindest glaubhaft ge- macht, dass der Beschwerdeführer überhaupt Leistungen des RAMED in Anspruch nehmen müsste, und auch nicht, dass diese eine medikamen- töse Behandlung und psychiatrische Dienste nicht abdecken würden. Viel- mehr sprechen die Beschwerdevorbringen dafür, dass es dem Beschwer- deführer möglich sein wird, eine adäquate Behandlung in Marokko nötigen- falls mit Unterstützung seiner Familie zu erhalten.</w:t>
      </w:r>
    </w:p>
    <w:p>
      <w:r>
        <w:rPr>
          <w:b/>
        </w:rPr>
        <w:t>E. 5.3.5</w:t>
      </w:r>
    </w:p>
    <w:p>
      <w:r>
        <w:t>Zur ersten Absicherung des Medikamentenbedarfs bestünde im Rah- men der medizinischen Rückkehrhilfe insbesondere die Möglichkeit, sich die geeigneten und medizinisch indizierten Medikamente für die erste Zeit nach seiner Rückkehr mitgeben zu lassen. Die geltend gemachten gesund- heitlichen Probleme des Beschwerdeführers stellen demnach kein Weg- weisungsvollzugshindernis dar. In Bezug auf eine allfällige Suizidalität des Beschwerdeführers kann auf die vorhergehenden Ausführungen zur Zuläs- sigkeit des Wegweisungsvollzugs verwiesen werden (vgl. E. 5.2.4 hiervor).</w:t>
      </w:r>
    </w:p>
    <w:p>
      <w:r>
        <w:rPr>
          <w:b/>
        </w:rPr>
        <w:t>E. 5.3.6</w:t>
      </w:r>
    </w:p>
    <w:p>
      <w:r>
        <w:t>Es bleibt schliesslich festzuhalten, dass es sich beim Beschwerde- führer um einen (…) jährigen Mann handelt, der in Marokko mit seiner Mut- ter und seinen Onkeln auf ein tragfähiges Beziehungsnetz und eine gesi- cherte Wohnsituation zurückgreifen kann. Zudem hat er eine Berufslehre abgeschlossen und war nach seinen Vorbringen in Europa und in Marokko immer wieder in der Lage, einer Arbeit nachzugehen und dabei auch Geld an seine Familie zu schicken. Vor diesem Hintergrund bleibt bloss der Voll- ständigkeit halber festzuhalten, dass auch allfällige wirtschaftliche Reinteg- rationsschwierigkeiten dem Vollzug nicht entgegenstehen, da blosse sozi- ale oder wirtschaftliche Schwierigkeiten, von denen die ansässige Bevöl- kerung betroffen ist, für sich gesehen keine existenzbedrohende Situation zu begründen vermögen (vgl. BVGE 2010/41 E. 8.3.6).</w:t>
      </w:r>
    </w:p>
    <w:p>
      <w:r>
        <w:rPr>
          <w:b/>
        </w:rPr>
        <w:t>E. 5.3.7</w:t>
      </w:r>
    </w:p>
    <w:p>
      <w:r>
        <w:t>Nach dem Gesagten erweist sich der Vollzug der Wegweisung so- wohl allgemein als auch in individueller Hinsicht als zumutbar im Sinne von Art. 83 Abs. 4 AIG.</w:t>
      </w:r>
    </w:p>
    <w:p>
      <w:r>
        <w:rPr>
          <w:b/>
        </w:rPr>
        <w:t>E. 5.4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D-5524/2021 Seite 11</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Bei diesem Ausgang des Verfahrens wären die Kosten des Verfahrens grundsätzlich dem Beschwerdeführer aufzuerlegen (Art. 63 Abs. 1 VwVG; Art. 1–3 des Reglements vom 21. Februar 2008 über die Kosten und Ent- schädigungen vor dem Bundesverwaltungsgericht [VGKE, SR 173.320.2]). Aufgrund der am 31. Dezember 2021 erfolgten Gewährung der unentgelt- lichen Rechtspflege (nach Art. 65 Abs. 1 VwVG) – an welcher mangels Hin- weisen auf eine zwischenzeitliche Veränderung respektive Verbesserung der finanziellen Verhältnisse des Beschwerdeführers festzuhalten bleibt – ist jedoch von einer Kostenauflage abzusehen.</w:t>
      </w:r>
    </w:p>
    <w:p>
      <w:r>
        <w:rPr>
          <w:b/>
        </w:rPr>
        <w:t>E. 7.2</w:t>
      </w:r>
    </w:p>
    <w:p>
      <w:r>
        <w:t>Nachdem der rubrizierte Rechtsanwalt dem Beschwerdeführer am 31. Dezember 2021 als amtlicher Rechtsbeistand beigeordnet worden ist, ist er für seinen Aufwand unbesehen des Ausgangs des Verfahrens zu ent- schädigen, soweit dieser sachlich notwendig war (vgl. Art. 12 i.V.m. Art. 8 Abs. 2 VGKE). Da er keine Kostennote zu den Akten gereicht hat, ist sein Aufwand abzuschätzen (Art. 14 Abs. 2 VGKE). Der Aufwand dürfte sich im Wesentlichen auf das Aktenstudium und das Verfassen der Beschwerde beschränkt haben. Aufwand für weitere Eingaben ist nicht entstanden. Da- her ist das amtliche Honorar aufgrund der Aktenlage, der massgebenden Bemessungsfaktoren (Art. 12 i.V.m. Art. 9-11 VGKE) und des praxisgemäs- sen Stundenansatzes für amtliche Rechtsbeistände (von Fr. 200.– bis Fr. 220.– für Rechtsanwältinnen und Rechtsanwälte) auf pauschal Fr. 1150.– (inkl. Auslagen) festzusetzen.</w:t>
      </w:r>
    </w:p>
    <w:p>
      <w:r>
        <w:t>(Dispositiv nächste Seite)</w:t>
      </w:r>
    </w:p>
    <w:p>
      <w:r>
        <w:t>D-5524/2021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