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D-5516/2011 vom 19. Dezember 2011</w:t>
      </w:r>
    </w:p>
    <w:p>
      <w:r>
        <w:t>Bundesverwaltungsgericht, 2011-12-19, DE</w:t>
      </w:r>
    </w:p>
    <w:p>
      <w:r>
        <w:rPr>
          <w:b/>
        </w:rPr>
        <w:t xml:space="preserve">Quelle: </w:t>
      </w:r>
      <w:r>
        <w:t>https://mcp.opencaselaw.ch/entscheid/bvger_D-5516_2011</w:t>
      </w:r>
    </w:p>
    <w:p>
      <w:r>
        <w:t>FR: TAF D-5516/2011 du 19 décembre 2011</w:t>
      </w:r>
    </w:p>
    <w:p>
      <w:r>
        <w:t>IT: TAF D-5516/2011 del 19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fristgerecht eingereicht und auch formgerecht, als sie Begehren, Begründung sowie die nötigen Vollmachten und die Unterschrift der Rechtsvertreterin enthält. Auf die Beschwerde ist daher insofern einzutreten (Art. 105 und 108 Abs. 1, Art. 52 VwVG).</w:t>
      </w:r>
    </w:p>
    <w:p>
      <w:r>
        <w:rPr>
          <w:b/>
        </w:rPr>
        <w:t>E. 1.4</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Im vorliegenden Verfahren stellt sich mit Blick auf die Problematik der Vertretungszugänglichkeit eines Asylgesuchs insbesondere die Frage, ob der Beschwerdeführer am Verfahren vor der Vorinstanz teilgenommen hat, entsprechend durch die angefochtene Verfügung besonders berührt ist und somit ein schutzwürdiges Interesse an deren Aufhebung beziehungsweise Änderung hat. Diese Fragen werden in E. 2 unten abzuhandeln sein.</w:t>
      </w:r>
    </w:p>
    <w:p>
      <w:r>
        <w:rPr>
          <w:b/>
        </w:rPr>
        <w:t>E. 2</w:t>
      </w:r>
    </w:p>
    <w:p>
      <w:r>
        <w:t>Die Rechtsvertreterin reichte für ihren Mandanten am 22. Februar 2011 unter Beifügung entsprechender Vollmachten ein schriftliches Asylgesuch ein und vertritt gleichzeitig den Standpunkt, die (nach Anhängigmachung des Asylverfahrens durchzuführende) schriftliche Anhörung eines Asylgesuchstellers im Sinne von Art. 10 Abs. 2 AsylV 1 sei generell vertretungsfeindlich, sofern nicht ohnehin eine persönliche Anhörung des Beschwerdeführers durch die Botschaft unerlässlich sei (vgl. Eingabe vom 31. August 2011 S. 1 Ziff. 1 und 2 und Beschwerde S. 4 Ziff. 2.1 und 2.2).</w:t>
      </w:r>
    </w:p>
    <w:p>
      <w:r>
        <w:rPr>
          <w:b/>
        </w:rPr>
        <w:t>E. 2.1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w:t>
      </w:r>
    </w:p>
    <w:p>
      <w:r>
        <w:rPr>
          <w:b/>
        </w:rPr>
        <w:t>E. 2.2</w:t>
      </w:r>
    </w:p>
    <w:p>
      <w:r>
        <w:t>Das verfassungsmässige Recht auf Vertretung (Art. 29 Abs. 2 BV) gilt indessen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weiteren Hinweisen).</w:t>
      </w:r>
    </w:p>
    <w:p>
      <w:r>
        <w:rPr>
          <w:b/>
        </w:rPr>
        <w:t>E. 2.3</w:t>
      </w:r>
    </w:p>
    <w:p>
      <w:r>
        <w:t>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w:t>
      </w:r>
    </w:p>
    <w:p>
      <w:r>
        <w:rPr>
          <w:b/>
        </w:rPr>
        <w:t>E. 2.4</w:t>
      </w:r>
    </w:p>
    <w:p>
      <w:r>
        <w:t>Angesichts des Gesagten setzt die Initiierung eines Asylverfahrens aus dem Ausland durch die urteilsfähige (mündige oder unmündige) Person prinzipiell einen persönlichen Antrag derselben voraus (so im Grundsatz auch die Urteile D-239/2010 vom 4. Juni 2010 [E. 3], E-1147/2010 vom 5. März 2010 [S. 6 f.], D-591/2009 vom 24. Februar 2009 [E. 4] oder E-490/2009 vom 23. Februar 2009 [S. 5 f.]). Fehlt ein solcher, ist eine Mangelbehebung jedoch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(vgl. Urteil E-3162/11 vom 6. Dezember 2011).</w:t>
      </w:r>
    </w:p>
    <w:p>
      <w:r>
        <w:rPr>
          <w:b/>
        </w:rPr>
        <w:t>E. 2.5</w:t>
      </w:r>
    </w:p>
    <w:p>
      <w:r>
        <w:t>Im vorliegenden Fall steht aufgrund der Aktenlage fest, dass der Beschwerdeführer im ganzen bisherigen Verfahren und insbesondere im gesamten erstinstanzlichen Verfahren nie in irgendeiner Weise persönlich vor einer schweizerischen Asylbehörde im In- oder Ausland aufgetreten ist. Insbesondere liegt keine schriftliche Erklärung des Beschwerdeführers selbst vor, in der er - unter Darlegung seiner Asylgründe - den Willen zum Ausdruck bringt, in der Schweiz um Asyl nachsuchen zu wollen. Somit steht für das Bundesverwaltungsgericht aufgrund der sich präsentierenden Aktenlage nicht fest, ob er überhaupt ein entsprechendes Asylgesuch stellen wollte und will. Damit bleibt zudem unklar, ob er selber als Gesuchsteller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des festgestellten Mangels wieder aufzunehmen und gegebenenfalls einer neuen Entscheidung zuzuführen gedenkt, oder ob es der Rechtsvertreterin des Beschwerdeführers eine Mitteilung betreffend die Nichtanhandnahme des Asylgesuchs infolge fehlender höchstpersönlicher Einreichung zu machen hat.</w:t>
      </w:r>
    </w:p>
    <w:p>
      <w:r>
        <w:rPr>
          <w:b/>
        </w:rPr>
        <w:t>E. 2.6</w:t>
      </w:r>
    </w:p>
    <w:p>
      <w:r>
        <w:t>Zusammenfassend ist festzustellen, dass das BFM die Höchstpersönlichkeit des Rechts auf Stellen eines Asylantrags verkennt und mithin eine Verfügung erlassen hat, die mangels zureichender Prüfung der Verfahrensvoraussetzungen nicht hätte ergehen dürfen.</w:t>
      </w:r>
    </w:p>
    <w:p>
      <w:r>
        <w:rPr>
          <w:b/>
        </w:rPr>
        <w:t>E. 3</w:t>
      </w:r>
    </w:p>
    <w:p>
      <w:r>
        <w:t>Aus diesen Erwägungen ergibt sich, dass die angefochtene Verfügung Bundesrecht verletzt sowie den rechtserheblichen Sachverhalt unrichtig und unvollständig feststellt (Art. 106 AsylG). Die Beschwerde ist insoweit gutzuheissen, als die angefochtene Verfügung aufzuheben und die Sache im Sinne der Erwägungen zur Wiederaufnahme oder allenfalls Beendigung des erstinstanzlichen Verfahrens an das BFM zurückzuweisen ist.</w:t>
      </w:r>
    </w:p>
    <w:p>
      <w:r>
        <w:rPr>
          <w:b/>
        </w:rPr>
        <w:t>E. 4.1</w:t>
      </w:r>
    </w:p>
    <w:p>
      <w:r>
        <w:t>Bei diesem Ausgang des Verfahrens sind keine Kosten aufzuerlegen (Art. 63 Abs. 1 VwVG). Das Gesuch um Gewährung der unentgeltlichen Rechtspflege im Sinne von Art. 65 Abs. 1 VwVG wird damit hinfällig.</w:t>
      </w:r>
    </w:p>
    <w:p>
      <w:r>
        <w:rPr>
          <w:b/>
        </w:rPr>
        <w:t>E. 4.2</w:t>
      </w:r>
    </w:p>
    <w:p>
      <w:r>
        <w:t>Im vorliegenden Fall besteht grundsätzlich ein Anspruch auf Parteientschädigung, da die Beschwerde führende Partei mit ihrem Antrag betreffend Aufhebung der angefochtenen Verfügung durchgedrungen ist (Art. 7 Abs. 1 des Reglements vom 21. Februar 2008 über die Kosten und Entschädigungen vor dem Bundesverwaltungsgericht [VGKE, SR 173.320.2]). Weil indes das Obsiegen in keiner Weise durch den Beschwerdeinhalt motiviert ist und die übrigen Anträge (Erteilung einer Einreisebewilligung zwecks Durchführung des Asylverfahrens beziehungsweise Durchführung einer persönlichen Anhörung durch die Schweizer Botschaft in Khartum) mangels eines rechtsgültig gestellten Asylantrages gar nicht zur Beurteilung gelangt sind, rechtfertigt sich in casu eine Reduktion der Parteientschädigung auf Fr. 100.- (Art. 10 Abs. 2 VGKE). Auf diesen Betrag ist mithin die eingereichte Kostennote zu kürzen und das BFM zur Ausrichtung desselben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