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D-5515/2010 vom 7. September 2010</w:t>
      </w:r>
    </w:p>
    <w:p>
      <w:r>
        <w:t>Bundesverwaltungsgericht, 2010-09-07, DE</w:t>
      </w:r>
    </w:p>
    <w:p>
      <w:r>
        <w:rPr>
          <w:b/>
        </w:rPr>
        <w:t xml:space="preserve">Quelle: </w:t>
      </w:r>
      <w:r>
        <w:t>https://mcp.opencaselaw.ch/entscheid/bvger_D-5515_2010</w:t>
      </w:r>
    </w:p>
    <w:p>
      <w:r>
        <w:t>FR: TAF D-5515/2010 du 7 septembre 2010</w:t>
      </w:r>
    </w:p>
    <w:p>
      <w:r>
        <w:t>IT: TAF D-5515/2010 del 7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In der Beschwerde wird vorab eine Verletzung des Untersuchungsgrundsatzes (zu kurze und oberflächliche Befragung) sowie eine falsche Anwendung der Grundsätze zu Art. 106 Abs. 1 AsylG (insbesondere dem Empfangsstellenprotokoll sei ein zu hoher Beweiswert zugemessen worden) durch das BFM gerügt. Gesamthaft habe das BFM die Vorbringen nicht ausgewogen und angemessen gewürdigt, damit seien sämtliche Beschwerdepunkte von Art. 106 Abs. 1 AsylG gesetzt worden. Da noch keine eigentliche Prüfung der Erfüllung der Flüchtlingseigenschaft erfolgt sei, solle der Fall zur ergänzenden und vertieften Sachverhaltserfassung und zum neuen (materiellen) Entscheid an das BFM zurückgewiesen werden.</w:t>
      </w:r>
    </w:p>
    <w:p>
      <w:r>
        <w:rPr>
          <w:b/>
        </w:rPr>
        <w:t>E. 4.2</w:t>
      </w:r>
    </w:p>
    <w:p>
      <w:r>
        <w:t>Die Untersuchungspflicht der Asylbehörden findet ihre Grenze an der Mitwirkungspflicht der Beschwerde führenden Partei (vgl. Art. 8 AsylG), die im Übrigen auch die Substanziierungspflicht trägt (Art. 7 AsylG). Insbesondere sind Asylgesuchsteller gehalten, alle ihre Asylgründe bei den Befragungen beziehungsweise den Anhörungen darzulegen. Der Beschwerdeführer wurde denn auch zum Abschluss der BzP gefragt, ob er noch etwas beizufügen habe beziehungsweise noch eine Zusatzbemerkung anbringen wolle (vgl. A2/9 S. 7 F. 22). Auch wurde er bereits im Verlauf der BzP gefragt, ob er nun alle Gründe genannt habe. Dies bejahte der Beschwerdeführer (vgl. A2/9 S. 5 f.) und verneinte die Frage, ob es sonst noch andere Gründe gebe, die gegen seine allfällige Rückkehr in den Heimatstaat sprechen würden (vgl. A2/9 S. 6). Darüber hinaus teilte ihm der Befrager gegen Ende der direkten Anhörung zu seinen Asylgründen mit, dass aus seiner Sicht alle Fakten gesammelt seien, die für die Beurteilung seines Asylgesuches notwendig seien (vgl. A12/11 S. 9). Der Beschwerdeführer erhob dagegen keine Einwände. Zudem bestätigte er mit seiner Unterschrift, dass das Protokoll vollständig sei und seinen freien Äusserungen entspreche (vgl. A12/11 S. 10). Folglich stösst die Rüge, das BFM habe den Untersuchungsgrundsatz verletzt, ins Leere. Vielmehr ist der Beschwerdeführer auf seinen unterschriftlich bestätigten Aussagen zu behaften.</w:t>
      </w:r>
    </w:p>
    <w:p>
      <w:r>
        <w:rPr>
          <w:b/>
        </w:rPr>
        <w:t>E. 4.3</w:t>
      </w:r>
    </w:p>
    <w:p>
      <w:r>
        <w:t>Ebensowenig vermag der Einwand, die aufgezeigten Widersprüche dürften ihren Grund in der unsorgfältigen Protokollierung, eventuell auch in der Übersetzungsproblematik haben, zu einem anderen Ergebnis führen. Vielmehr wurden beide Protokolle dem Beschwerdeführer in die tamilische Sprache rückübersetzt und von ihm mit dem Zusatz, er habe den Dolmetscher (gut) verstanden (vgl. A2/9 S. 7 F. 23) beziehungsweise er verstehe ihn gut (vgl. A12/11 S. 1 F. 1) unterschrieben. Demnach sind auch diese Rügen unbegründet.</w:t>
      </w:r>
    </w:p>
    <w:p>
      <w:r>
        <w:rPr>
          <w:b/>
        </w:rPr>
        <w:t>E. 4.4</w:t>
      </w:r>
    </w:p>
    <w:p>
      <w:r>
        <w:t>Art. 19 VwVG i.V.m. Art. 37 des Bundesgesetzes vom 4. Dezember 1947 über den Bundeszivilprozess (BZP, SR 273)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122 V 157 E. 1d S. 162, BGE 119 V 335 E. 2c S. 344).</w:t>
      </w:r>
    </w:p>
    <w:p>
      <w:r>
        <w:rPr>
          <w:b/>
        </w:rPr>
        <w:t>E. 4.5</w:t>
      </w:r>
    </w:p>
    <w:p>
      <w:r>
        <w:t>Vor diesem Hintergrund ist festzustellen, dass zusätzliche Abklärungen im vorliegenden Beschwerdeverfahren nicht zu neuen sachdienlichen Erkenntnissen führen könnten beziehungsweise auch im vorinstanzlichen Verfahren nicht entscheiderheblich gewesen wären: In antizipierter Beweiswürdigung ist festzustellen, dass eine ergänzende, vertiefte Sachverhaltsfeststellung bei der Beurteilung des vorliegenden Verfahrens nicht zu einem anderen Entscheid führen könnte, da die Vorbringen des Beschwerdeführers offensichtlich unglaubhaft sind (siehe E.6). Die entsprechenden Beweisanträge werden demnach abgewiesen.</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Auch die weiteren Vorbringen in der Rechtsmitteleingabe vom 2. August 2010 sind nicht geeignet, eine Änderung der vorinstanzlichen Verfügung zu bewirken. Der Argumentation des BFM werden keine stichhaltigen und substanziierten Gründe entgegengesetzt. Eine diesbezügliche Auseinandersetzung unterbleibt zwar nicht. Die Ausführungen des Beschwerdeführers vermögen jedoch die substanziiert vorgebrachten und nachvollziehbaren Erwägungen des Bundesamtes nicht umzustossen. Für das Bundesverwaltungsgericht besteht keine Veranlassung, nach Überprüfung der Akten die Erwägungen des BFM zu beanstanden. Um Wiederholungen zu vermeiden kann daher auf die zutreffenden Ausführungen in der angefochtenen Verfügung verwiesen werden (vgl. Art. 4 VwVG i.V.m. Art. 6 AsylG und Art. 109 Abs. 3 BGG). Entscheidend ist, dass der Beschwerdeführer Sri Lanka eigenen Angaben zufolge legal auf dem Luftweg verliess (vgl. A2/9 S. 6), was gegen eine asylrechtlich relevante Gefährdung des Beschwerdeführers spricht. Eine begründete Furcht vor aktueller zukünftiger Verfolgung vermag er nicht glaubhaft darzulegen. Nach dem Gesagten erfüllt der Beschwerdeführer die Flüchtlingseigenschaft gemäss Art. 3 AsylG nicht.</w:t>
      </w:r>
    </w:p>
    <w:p>
      <w:r>
        <w:rPr>
          <w:b/>
        </w:rPr>
        <w:t>E. 6.2</w:t>
      </w:r>
    </w:p>
    <w:p>
      <w:r>
        <w:t>Aufgrund der vorstehenden Erwägungen erübrigt es sich, auf die weiteren Ausführungen in der Eingabe des Beschwerdeführers sowie auf die im Verlauf des Asylverfahrens eingereichten Unterlagen im Einzelnen einzugehen, da sie am Ergebnis der vorgenommenen Würdigung nicht zu ändern vermögen. Das Bundesamt hat das Asylgesuch des Beschwerdeführers zur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w:t>
      </w:r>
    </w:p>
    <w:p>
      <w:r>
        <w:t>Das Bundesverwaltungsgericht nahm im Urteil BVGE 2008/2 zur Frage der Zumutbarkeit des Wegweisungsvollzugs abgewiesener Asylsuchender tamilischer Ethnie eine Lageanalyse vor. Gemäss der diesbezüglich neu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E.7.6.1). Der Ende Mai 2009 durch die militärische Niederlage der LTTE beendete bewaffnete Konflikt hat an diesen Beurteilungsmerkmalen nichts Grundsätzliches geändert. Der Beschwerdeführer hat sich eigenen Angaben zufolge seit dem Jahre 1991 bis zu seiner Ausreise im Juli 2008 in Colombo aufgehalten. Er hat in Sri Lanka elf Jahre die Schule besucht und von 1999 bis 2001 in einer Druckerei gearbeitet (vgl. A2/9 S. 2). Danach bestritt er seinen Lebensunterhalt mit Gelegenheitsarbeiten und wurde von seinem in Italien lebenden Bruder finanziell unterstützt (vgl. a.a.O.). Sein Onkel soll ihm auch geholfen haben, das Haus seiner Mutter zu verkaufen, um die Reise in die Schweiz finanzieren zu können. Ausserdem will er einen Onkel (den Cousin seiner Mutter) gebeten haben, ihm seine in Sri Lanka zurückgelassen Identitätskarte zu schicken (vgl. A2/9 S. 5) Demnach ist von einer ausreichenden wirtschaftlichen Perspektive sowie von einem sozialen Beziehungsnetz im Raum Colombo auszugehen. Nach dem Gesagten erweist sich der Vollzug der Wegweisung somit auch als zumutbar.</w:t>
      </w:r>
    </w:p>
    <w:p>
      <w:r>
        <w:rPr>
          <w:b/>
        </w:rPr>
        <w:t>E. 8.6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17. August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