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D-5514/2025 vom 24. Juni 2025</w:t>
      </w:r>
    </w:p>
    <w:p>
      <w:r>
        <w:t>Bundesverwaltungsgericht, 2025-06-24, IT</w:t>
      </w:r>
    </w:p>
    <w:p>
      <w:r>
        <w:rPr>
          <w:b/>
        </w:rPr>
        <w:t xml:space="preserve">Quelle: </w:t>
      </w:r>
      <w:r>
        <w:t>https://mcp.opencaselaw.ch/entscheid/bvger_D-5514_2025_d20250624</w:t>
      </w:r>
    </w:p>
    <w:p>
      <w:r>
        <w:t>FR: TAF D-5514/2025 du 24 juin 2025</w:t>
      </w:r>
    </w:p>
    <w:p>
      <w:r>
        <w:t>IT: TAF D-5514/2025 del 24 giugno 2025</w:t>
      </w:r>
    </w:p>
    <w:p>
      <w:pPr>
        <w:pStyle w:val="Heading2"/>
      </w:pPr>
      <w:r>
        <w:t>Regeste</w:t>
      </w:r>
    </w:p>
    <w:p>
      <w:r>
        <w:t>Asilo e allontanamento (riesame) | Asilo e allontanamento (riesame); decisione della SEM del 24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2'000.-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L'istanza di concessione del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