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D-5512/2019 vom 28. Oktober 2019</w:t>
      </w:r>
    </w:p>
    <w:p>
      <w:r>
        <w:t>Bundesverwaltungsgericht, 2019-10-28, DE</w:t>
      </w:r>
    </w:p>
    <w:p>
      <w:r>
        <w:rPr>
          <w:b/>
        </w:rPr>
        <w:t xml:space="preserve">Quelle: </w:t>
      </w:r>
      <w:r>
        <w:t>https://mcp.opencaselaw.ch/entscheid/bvger_D-5512_2019</w:t>
      </w:r>
    </w:p>
    <w:p>
      <w:r>
        <w:t>FR: TAF D-5512/2019 du 28 octobre 2019</w:t>
      </w:r>
    </w:p>
    <w:p>
      <w:r>
        <w:t>IT: TAF D-5512/2019 del 28 ottobre 2019</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vonArt. 124 BGG darzutun.</w:t>
      </w:r>
    </w:p>
    <w:p>
      <w:r>
        <w:rPr>
          <w:b/>
        </w:rPr>
        <w:t>E. 2.2</w:t>
      </w:r>
    </w:p>
    <w:p>
      <w:r>
        <w:t>Der Gesuchsteller beruft sich in der Eingabe vom 16. Oktober 2019 darauf, dass er nach den Abweisungen seiner Beschwerden durch das Bundesverwaltungsgericht Anstrengungen zum Erhalt beweisrelevanter Dokumente unternommen habe. In der Folge sei ihm am (...) das ins Recht gelegte Dokument, datierend vom (...), zugestellt worden. Damit ruft er den Revisionsgrund von Art. 123 Abs. 2 Bst. a BGG (neue Tatsachen und Beweismittel) an und zeigt ausserdem die Rechtzeitigkeit des Revisionsbegehrens auf. Die Eingabe vom 16. Oktober 2019 ist deshalb als Revisionsgesuch entgegenzunehmen. Auf dieses Gesuch ist, da es frist- und formgerecht eingereicht wurde,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 dies unter Ausschluss der Tatsachen und Beweismitteln,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Niggli/Uebersax/Wiprächtiger [Hrsg.], Bundesgerichtsgesetz,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MOSER/BEUSCH/KNEUBÜHLER, a.a.O., S. 306 f. Rz. 5.47).</w:t>
      </w:r>
    </w:p>
    <w:p>
      <w:r>
        <w:rPr>
          <w:b/>
        </w:rPr>
        <w:t>E. 3.3</w:t>
      </w:r>
    </w:p>
    <w:p>
      <w:r>
        <w:t>Revisionsweise eingereichte Beweismittel sind nur als neu zu qualifizieren, wenn sie entweder neue erhebliche Tatsachen erhärten oder aber geeignet sind, dem Beweis von Tatsachen zu dienen, die zwar im früheren Verfahren bekannt gewesen, aber zum Nachteil der gesuchstellenden Partei unbewiesen geblieben sind. Beweismittel sind revisionsrechtlich erheblich, wenn sie bei Vorliegen im ordentlichen Verfahren vermutlich zu einem anderen Entscheid geführt hätten. Erst nach dem angefochtenen Entscheid entstandene Beweismittel sind als Revisionsgrund ausgeschlossen, und zwar auch dann, wenn sie sich auf vorbestandene Tatsachen beziehen (Art. 123 Abs. 2 Bst. a in fine BGG; vgl. auch BVGE 2013/22).</w:t>
      </w:r>
    </w:p>
    <w:p>
      <w:r>
        <w:rPr>
          <w:b/>
        </w:rPr>
        <w:t>E. 4.1</w:t>
      </w:r>
    </w:p>
    <w:p>
      <w:r>
        <w:t>Zunächst ist festzustellen, dass der Gesuchsteller nicht darlegt, dass es für ihn unmöglich beziehungsweise unzumutbar gewesen sein soll, das mit dem Revisionsgesuch vom 16. Oktober 2019 eingereichte Dokument, bei dem es sich laut seinen Angaben um (Nennung Beweismittel) vom (...) handle, vor Abschluss des ordentlichen Verfahrens einzureichen. Insbesondere bleibt es bei der blossen durch nichts belegten Behauptung, er habe das besagte Dokumente ungefähr zwei Wochen vor Gesuchseinreichung (am [...]) zugestellt erhalten.</w:t>
      </w:r>
    </w:p>
    <w:p>
      <w:r>
        <w:rPr>
          <w:b/>
        </w:rPr>
        <w:t>E. 4.2</w:t>
      </w:r>
    </w:p>
    <w:p>
      <w:r>
        <w:t>Abgesehen davon erweist sich das Dokument als revisionsrechtlich nicht erheblich. Zunächst ist festzuhalten, dass es sich beim eingereichten Beweismittel - entgegen der im Revisionsgesuch angeführten Bezeichnung - nicht um (Nennung Bezeichnung durch Gesuchsteller), sondern um (Nennung Bezeichnung auf dem Dokument) handelt. Darin wird (Ausführungen zum Inhalt des Dokuments). Bei diesem Beweismittel handelt es sich somit um ein behördeninternes Dokument, welches nicht zur Abgabe an den betroffenen Gesuchsteller bestimmt war und in dessen Besitz er somit gar nicht hätte gelangen können. Es ergeben sich aus dem fraglichen Beweismittel denn auch keine Anhaltspunkte, dass es dem Gesuchsteller in irgendeiner Weise oder aus irgendeinem Grund hätte ausgehändigt werden sollen. Der Rubrik "Distribution" am Ende des Dokuments sind in diesem Zusammenhang - in Ermangelung von Einträgen - keine Hinweise zu entnehmen, die zu einem anderen Schluss führen müssten. Sodann sind die Ausführungen im Revisionsgesuch, wonach er vom F._______ gesucht werde, weil er der besagten (Nennung Beweismittel) keine Folge geleistet habe, mit seinen Schilderungen anlässlich des ersten Asylgesuchs weder in inhaltlicher noch in zeitlicher Hinsicht in Übereinstimmung zu bringen. Damals führte er nämlich an, er sei von einer Person im Jahr (...) beim F._______ angeschwärzt worden, weil er (Nennung Grund). Infolge dieser Denunziation sei er von Agenten des F._______ heimgesucht und mit dem Tod bedroht worden. Dass er auch aus dem wie im Revisionsgesuch behaupteten Grund gesucht worden wäre, machte er jedoch nicht geltend. Sodann hätte der Gesuchsteller aufgrund der Nichtbeachtung der (Nennung Beweismittel) mit an Sicherheit grenzender Wahrscheinlichkeit bereits im Jahr (...) weitergehende behördliche Massnahmen respektive eine Festnahme zu gewärtigen gehabt. Demgegenüber will er gemäss seinen Aussagen im ersten Asylverfahren trotz der Behelligungen noch bis im (...) an seinem Wohnort in C._______ geblieben sein (vgl. Urteil D-4360/2018 S. 2, A.b.).</w:t>
      </w:r>
    </w:p>
    <w:p>
      <w:r>
        <w:rPr>
          <w:b/>
        </w:rPr>
        <w:t>E. 4.3</w:t>
      </w:r>
    </w:p>
    <w:p>
      <w:r>
        <w:t>Das eingereichte Beweismittel erweist sich damit als nicht geeignet, die Glaubhaftigkeit der geltend gemachten (Nennung Beweismittel) und der nachfolgenden Suche des E._______ nach dem Gesuchsteller zu bewirken. Das Beweismittel ist damit als nicht erheblich im Sinne von Art. 123 Abs. 2 Bst. a BGG zu erachten.</w:t>
      </w:r>
    </w:p>
    <w:p>
      <w:r>
        <w:rPr>
          <w:b/>
        </w:rPr>
        <w:t>E. 5</w:t>
      </w:r>
    </w:p>
    <w:p>
      <w:r>
        <w:t>Zusammenfassend ist festzuhalten, dass keine Revisionsgründe vorliegen. Das Gesuch um Revision der Urteile des Bundesverwaltungsgerichts vom 4. Februar 2019 und vom 22. Juli 2019 ist abzuweisen.</w:t>
      </w:r>
    </w:p>
    <w:p>
      <w:r>
        <w:rPr>
          <w:b/>
        </w:rPr>
        <w:t>E. 6</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w:t>
      </w:r>
    </w:p>
    <w:p>
      <w:r>
        <w:rPr>
          <w:b/>
        </w:rPr>
        <w:t>E. 7</w:t>
      </w:r>
    </w:p>
    <w:p>
      <w:r>
        <w:t>Mit dem vorliegenden Urteil wird das Gesuch um Sistierung des Wegweisungsvollzugs gegenstandslos. Der am 23. Oktober 2019 verfügte Vollzugsstopp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