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D-5505/2016 vom 16. Mai 2017</w:t>
      </w:r>
    </w:p>
    <w:p>
      <w:r>
        <w:t>Bundesverwaltungsgericht, 2017-05-16, DE</w:t>
      </w:r>
    </w:p>
    <w:p>
      <w:r>
        <w:rPr>
          <w:b/>
        </w:rPr>
        <w:t xml:space="preserve">Quelle: </w:t>
      </w:r>
      <w:r>
        <w:t>https://mcp.opencaselaw.ch/entscheid/bvger_D-5505_2016</w:t>
      </w:r>
    </w:p>
    <w:p>
      <w:r>
        <w:t>FR: TAF D-5505/2016 du 16 mai 2017</w:t>
      </w:r>
    </w:p>
    <w:p>
      <w:r>
        <w:t>IT: TAF D-5505/2016 del 16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entscheidet in der Regel in der Besetzung mit drei Richtern oder drei Richterinnen (Art. 21 VGG), wobei gestützt auf Art. 111a Abs. 1 AsylG auch in diesen Fällen auf die Durchführung eines Schriftenwechsels verzichtet werden kann.</w:t>
      </w:r>
    </w:p>
    <w:p>
      <w:r>
        <w:rPr>
          <w:b/>
        </w:rPr>
        <w:t>E. 4</w:t>
      </w:r>
    </w:p>
    <w:p>
      <w:r>
        <w:t>Das SEM gab zur Begründung der ablehnenden Verfügung an, das Vorbringen, im (...) 2015 von den eritreischen Behörden eine Vorladung erhalten und allfällige Konsequenzen befürchtet zu haben, sei nicht geeignet, eine asylrelevante Furcht vor zukünftiger Verfolgung zu begründen. So fehle es an objektiven Anhaltspunkten für eine ernsthafte Bedrohung in flüchtlingsrelevantem Ausmass. Die Beschwerdeführerin habe ihre diesbezügliche Befürchtung einzig mit dem Verweis auf ihre Schwester begründet. Von deren Erlebnissen könne indes nicht automatisch darauf geschlossen werden, dass ihr ebenfalls eine lange Inhaftierung gedroht habe. Namentlich solle ihre Schwester im Alter von (...) Jahren eine Vorladung erhalten haben. Demgegenüber habe die Beschwerdeführerin angegeben, dass ihr die Vorladung ihrerseits als (...)-Jährige zugestellt worden sei. Angesichts ihrer damaligen Minderjährigkeit sowie der fortwährenden Schulpflicht sei nicht anzunehmen, dass sie von den Behörden inhaftiert und danach für den Militärdienst rekrutiert worden wäre. Auch seien dem Dokument gemäss ihren Aussagen inhaltlich keine Androhungen zu entnehmen gewesen. Angesichts der fehlenden Asylrelevanz der Vorbringen könne auf die Prüfung der Glaubhaftigkeit der Aussagen der Beschwerdeführerin verzichtet werden, obschon diesbezüglich explizite Zweifel anzubringen seien. So habe sie sich bei Fragen zum zeitlichen Ablauf in wesentlichen Punkten widersprochen und erscheine nicht plausibel, dass die Behörden sechs Jahre nach der Ausreise des Vaters noch immer den besagten Aufwand zur Bestrafung sämtlicher Familienmitglieder betreiben sollten. Zudem sei zu bezweifeln, dass die bei der Verwaltung arbeitende Nachbarin gewusst habe, wann die Beschwerdeführerin für die Semesterferien nach F._______ zurückkehren würde, und daraufhin den Versand der Vorladung ausgelöst habe. Schliesslich lägen, ohne auf die Frage der Glaubhaftigkeit der geltend gemachten illegalen Ausreise einzugehen, keine konkreten Indizien vor, die für den Falle einer Rückkehr nach Eritrea eine Verfolgung mit beachtlicher Wahrscheinlichkeit nahezulegen vermöchten.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Überprüfung der Akten ergibt, dass die Asylrelevanz der geltend gemachten Vorfluchtgründe von der Vorinstanz mit zutreffender Begründung verneint wurde, weshalb sie diesbezüglich auf eine Prüfung der Glaubhaftigkeit der Aussagen der Beschwerdeführerin verzichten konnte. Namentlich verneinte die Vorinstanz zu Recht das Vorliegen von objektiven Anhaltspunkten für eine ernsthafte Bedrohung der Beschwerdeführerin in flüchtlingsrelevantem Ausmass beziehungsweise dass aus den Erlebnissen ihrer Schwester ohne Weiteres darauf geschlossen werden könne, dass ihr selbst ebenfalls eine lange Inhaftierung gedroht hätte. So hatten die geltend gemachten Behelligungen der Familie gemäss den Aussagen der Beschwerdeführerin ihren Ursprung in der im Nachgang zur Ausreise des Vaters durch die Behörden verhängten Busse (vgl. SEM-Akte [...], [...]). Demnach wären die an ihre Schwester gerichtete Vorladung mit anschliessender Inhaftierung im Jahr 2013, mithin erst rund vier Jahre nach der Verhängung der Busse erfolgt. Nach der Ausreise der Schwester, zirka ab dem Jahr 2014, sei die Mutter der Beschwerdeführerin von den Behörden wiederholt mitgenommen worden (vgl. a.a.O., [...], [...]). Schliesslich sei die Mutter freigekommen, nachdem eine Bürgschaft geleistet und die Hälfte der Busse bezahlt worden sei, wobei ihr die Behörden auch nachher noch Probleme gemacht hätten (vgl. a.a.O., [...], [...]). Zum einen wurden diese Probleme von der Beschwerdeführerin anlässlich ihrer Anhörung in lediglich pauschaler Weise vorgebracht, während sich die Rechtsmitteleingabe dazu mit keinem Wort äussert. Bereits aus diesem Grund erscheint eine von der Beschwerdeführerin befürchtete Verhaftung als wenig wahrscheinlich, umso weniger, als die Freilassung ihrer Mutter ja durch Leistung einer Bürgschaft und Bezahlung der Hälfte der Busse erwirkt worden sei. Unter diesen Umständen hätten die Behörden zur Eintreibung der Restanz an die Bürgen gelangen können, was überdies Erfolg versprechender erscheint, nachdem ihnen die mehrjährige Erfahrung gezeigt hat, dass die Familie offensichtlich nicht über genügend liquide Mittel verfügt. Zum andern war die Beschwerdeführerin zum Zeitpunkt, als sie ihre Vorladung erhalten haben will, erst (...) Jahre alt. Unter den gegebenen Umständen ist nicht nachvollziehbar, inwiefern die Behörden ihrem angeblichen Ziel, der vollständigen Eintreibung des Bussgelds, mit einer allfälligen Inhaftierung der Beschwerdeführerin einen Schritt hätten näherkommen können. Auch aus diesem Blickwinkel erscheint die von ihr befürchtete Verhaftung wenig wahrscheinlich. Abgesehen davon, war sie nicht in der Lage, nähere Angaben zur angeblich erhaltenen Vorladung zu machen. So habe es sich um ein an sie gerichtetes Schreiben der Verwaltung gehandelt, wonach sie dort gebraucht werde und innerhalb einer Woche zu erscheinen habe, wobei kein Grund genannt worden sei (vgl. a.a.O., [...]). Nach dem Gesagten vermögen die Vorbringen der Beschwerdeführerin in Übereinstimmung mit der Vorinstanz keine objektiv begründete Furcht vor einer asylrelevanten Verfolgung zu begründen. Die Ausführungen in der Rechtsmitteleingabe sind nicht geeignet, zu einer andern Einschätzung zu gelangen, zumal sie sich im Wesentlichen auf eine Wiederholung der Vorfluchtgründe beschränken, an deren Glaubhaftigkeit und Asylrelevanz festgehalten wird.</w:t>
      </w:r>
    </w:p>
    <w:p>
      <w:r>
        <w:rPr>
          <w:b/>
        </w:rPr>
        <w:t>E. 7.1</w:t>
      </w:r>
    </w:p>
    <w:p>
      <w:r>
        <w:t>Es bleibt somit zu prüfen, ob die Beschwerdeführerin wegen ihrer Ausreise aus Eritrea bei einer Rückkehr dorthin - mithin wegen subjektiver Nachfluchtgründe - befürchten müsste, ernsthaften Nachteilen im Sinne von Art. 3 AsylG ausgesetzt zu werden.</w:t>
      </w:r>
    </w:p>
    <w:p>
      <w:r>
        <w:rPr>
          <w:b/>
        </w:rPr>
        <w:t>E. 7.2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7.3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8.1</w:t>
      </w:r>
    </w:p>
    <w:p>
      <w:r>
        <w:t>In diesem Zusammenhang wird in der Rechtsmitteleingabe ausgeführt, es sei unbestritten, dass die Beschwerdeführerin ihre Heimat illegal verlassen habe. Das Bundesverwaltungsgericht habe in einem Entscheid vom 14. April 2015 festgehalten, dass eritreischen Staatsangehörigen, die illegal aus ihrem Heimatland ausreisten, - unabhängig von ihrem Alter und vom Grund der Ausreise - bei einer Rückkehr nicht nur eine Gefährdung nach Art. 3 EMRK zu befürchten hätten, sondern ihnen auch ernsthafte Nachteile im Sinne von Art. 3 AsylG drohen würden. Seit dem 23. Juni 2016 beurteile das SEM Asylgesuche von Personen aus Eritrea wesentlich strenger. So könnten illegal ausgereiste Eritreer unter gewissen Bedingungen straffrei in ihren Heimatstaat zurückkehren.</w:t>
      </w:r>
    </w:p>
    <w:p>
      <w:r>
        <w:rPr>
          <w:b/>
        </w:rPr>
        <w:t>E. 8.2</w:t>
      </w:r>
    </w:p>
    <w:p>
      <w:r>
        <w:t>Zur vorherigen Praxis des Bundesverwaltungsgerichts die illegale Ausreise aus Eritrea betreffend kann auf das Referenzurteil D-7898/2015 vom 30. Januar 2017 verwiesen werden (vgl. E. 4.1 f.).</w:t>
      </w:r>
    </w:p>
    <w:p>
      <w:r>
        <w:rPr>
          <w:b/>
        </w:rPr>
        <w:t>E. 8.3</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8.4</w:t>
      </w:r>
    </w:p>
    <w:p>
      <w:r>
        <w:t>In Anbetracht der geänderten Rechtsprechung kann die Glaubhaftigkeit der illegalen Ausreise vorliegend offen gelassen werden, da solche zusätzlichen Faktoren im Falle der Beschwerdeführerin zu verneinen sind. Es gelang ihr gemäss vorstehenden Erwägungen nicht, Umstände darzulegen, welche sie in den Augen des eritreischen Regimes als missliebige Person erscheinen lassen könnten. Somit bleibt festzuhalten, dass allein die illegale Ausreise keine Furcht vor einer zukünftigen flüchtlingsrechtlich relevanten Verfolgung zu begründen vermag, da keine zusätzlichen Faktoren für ein Risikoprofil zu erkennen sind. Insbesondere sind die vorgebrachten Probleme der Familie nicht als profilschärfende zusätzliche Faktoren zu würdigen. Auch das blosse Stellen eines Asylgesuchs im Ausland führt zu keiner entscheidrelevanten Schärfung des Risikoprofils (vgl. Urteil des BVGerD-1045/2016 vom 24. Mai 2016 E. 7.4). Wie bereits erwähnt, kann die Frage der Glaubhaftigkeit der illegalen Ausreise mangels flüchtlingsrechtlicher Relevanz offen bleiben.</w:t>
      </w:r>
    </w:p>
    <w:p>
      <w:r>
        <w:rPr>
          <w:b/>
        </w:rPr>
        <w:t>E. 8.5</w:t>
      </w:r>
    </w:p>
    <w:p>
      <w:r>
        <w:t>Nach dem Gesagten bestehen bei der Beschwerdeführerin auch keine flüchtlingsrechtlich relevanten subjektiven Nachfluchtgründe</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9.3</w:t>
      </w:r>
    </w:p>
    <w:p>
      <w:r>
        <w:t>Nachdem das SEM in seiner Verfügung vom 8. August 2016 die vorläufige Aufnahme der Beschwerdeführerin in der Schweiz angeordnet hat, erübrigen sich praxisgemäss weitere Ausführungen zum Vollzug der Wegweisung.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festgestellt hat (Art. 106 Abs. 1 AsylG). Die Beschwerde ist abzuweisen.</w:t>
      </w:r>
    </w:p>
    <w:p>
      <w:r>
        <w:rPr>
          <w:b/>
        </w:rPr>
        <w:t>E. 11.1</w:t>
      </w:r>
    </w:p>
    <w:p>
      <w:r>
        <w:t>Bei diesem Ausgang des Verfahrens wären die Kosten der Beschwerdeführerin aufzuerlegen (Art. 63 Abs. 1 VwVG). Nachdem der Instruktionsrichter das Gesuch der Beschwerdeführerin um Gewährung der unentgeltlichen Prozessführung gutgeheissen hat und den Akten keine Hinweise auf eine Veränderung der finanziellen Verhältnisse zu entnehmen sind, ist von einer Kostenauflage abzusehen.</w:t>
      </w:r>
    </w:p>
    <w:p>
      <w:r>
        <w:rPr>
          <w:b/>
        </w:rPr>
        <w:t>E. 11.2</w:t>
      </w:r>
    </w:p>
    <w:p>
      <w:r>
        <w:t>Nachdem der Beschwerdeführerin mit derselben Verfügung ihre Rechtsvertreterin als amtlicher Rechtsbeistand gemäss Art. 110a Abs. 1 AsylG beigeordnet worden ist, ist dieser ein entsprechendes Honorar auszurichten (vgl. für die Grundsätze der Bemessung der Entschädigung an Parteien und amtliche Vertreter und Vertreterinnen (vgl. Art. 8-11 sowie Art. 12 des Reglements vom 21. Februar 2008 über die Kosten und Entschädigungen vor dem Bundesverwaltungsgericht [VGKE, SR 173.320.2]). Der amtliche Rechtsbeistand hat keine Kostennote eingereicht. Auf entsprechende Nachforderung kann verzichtet werden, da sich die Vertretungskosten aufgrund der Akten einschätzen lassen (vgl. Art. 14 Abs. 2 in fine VGKE). Unter Berücksichtigung der massgebenden Bemessungsfaktoren und der Entschädigungspraxis in Vergleichsfällen ist der amtlichen Rechtsverbeiständung ein Stundenansatz von Fr. 220.- zugrunde zu legen und das amtliche Honorar auf pauschal Fr. 600.- (inkl. Auslagen und Mehrwertsteuer) festzusetzen. Dieses ist Rechtsanwältin Linda Keller, St. Gallen,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