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D-549/2024 vom 27. Dezember 2023</w:t>
      </w:r>
    </w:p>
    <w:p>
      <w:r>
        <w:t>Bundesverwaltungsgericht, 2023-12-27, DE</w:t>
      </w:r>
    </w:p>
    <w:p>
      <w:r>
        <w:rPr>
          <w:b/>
        </w:rPr>
        <w:t xml:space="preserve">Quelle: </w:t>
      </w:r>
      <w:r>
        <w:t>https://mcp.opencaselaw.ch/entscheid/bvger_D-549_2024_d20231227</w:t>
      </w:r>
    </w:p>
    <w:p>
      <w:r>
        <w:t>FR: TAF D-549/2024 du 27 décembre 2023</w:t>
      </w:r>
    </w:p>
    <w:p>
      <w:r>
        <w:t>IT: TAF D-549/2024 del 27 dicembre 2023</w:t>
      </w:r>
    </w:p>
    <w:p>
      <w:pPr>
        <w:pStyle w:val="Heading2"/>
      </w:pPr>
      <w:r>
        <w:t>Regeste</w:t>
      </w:r>
    </w:p>
    <w:p>
      <w:r>
        <w:t>Verweigerung vor&amp;uuml;bergehender Schutz | Verweigerung vorübergehender Schutz; Verfügung des SEM vom 27. Dezember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72 i.V.m. Art. 105 AsylG [SR 142.31]; Art. 83 Bst. d Ziff. 1 BGG). Der Beschwerde- führer ist als Verfügungsadressat zur Beschwerdeführung legitimiert (Art. 48 VwVG). Auf die frist- und formgerecht eingereichte Beschwerde ist einzutreten (Art. 72 i.V.m. Art. 108 Abs. 6 AsylG; Art. 52 Abs. 1 VwVG).</w:t>
      </w:r>
    </w:p>
    <w:p>
      <w:r>
        <w:rPr>
          <w:b/>
        </w:rPr>
        <w:t>E. 2</w:t>
      </w:r>
    </w:p>
    <w:p>
      <w:r>
        <w:t>Die Beschwerde richtet sich aufgrund der Rechtsbegehren und Be- schwerdebegründung nicht gegen die Kantonszuteilung (Dispositivziffer 4 der angefochtenen Verfügung). Gegenstand des vorliegenden Beschwer- deverfahrens bildet demnach die Frage, ob das SEM zu Recht das Gesuch des Beschwerdeführers um vorübergehenden Schutz abgelehnt, die Weg- weisung verfügt und den Vollzug angeordnet hat. Im Übrigen ist die ange- fochtene Verfügung mangels Anfechtung mit Ablauf der Rechtsmittelfrist in Rechtskraft erwachsen.</w:t>
      </w:r>
    </w:p>
    <w:p>
      <w:r>
        <w:rPr>
          <w:b/>
        </w:rPr>
        <w:t>E. 3</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4.2</w:t>
      </w:r>
    </w:p>
    <w:p>
      <w:r>
        <w:t>Gestützt auf Art. 111a Abs. 1 AsylG i.V.m. Art. 72 AsylG wurde auf ei- nen Schriftenwechsel verzichtet.</w:t>
      </w:r>
    </w:p>
    <w:p>
      <w:r>
        <w:rPr>
          <w:b/>
        </w:rPr>
        <w:t>E. 5</w:t>
      </w:r>
    </w:p>
    <w:p>
      <w:r>
        <w:t>Im Fliesstext seiner Rechtsmitteleingabe rügt der rechtlich nicht vertretene Beschwerdeführer, seine Vorbringen seien «entweder nicht gehört oder ig- noriert [worden]» (vgl. Beschwerde S. 4). Die damit sinngemäss geltend</w:t>
      </w:r>
    </w:p>
    <w:p>
      <w:r>
        <w:t>D-549/2024 Seite 5 gemachte Rüge der Verletzung des Untersuchungsgrundsatzes und des rechtlichen Gehörs ist unbegründet. Weder sind dem Kurzbefragungs- protokoll Hinweise darauf zu entnehmen, der Beschwerdeführer habe sich nicht frei und ausführlich zu seinen Gesuchsgründen äussern können noch wird in der Beschwerdeschrift substantiiert, inwiefern die Anhörung zu einer unvollständigen respektive falschen Sachverhaltsfeststellung geführt ha- ben soll. Darüber hinaus hat die Vorinstanz in der angefochtenen Verfü- gung nachvollziehbar und hinreichend differenziert aufgezeigt, dass sie sich mit sämtlichen zentralen Vorbringen des Beschwerdeführers ausei- nandergesetzt, diese sorgfältig sowie ernsthaft geprüft und in der Ent- scheidfindung berücksichtigt hat. Der blosse Umstand, dass der Beschwer- deführer die Beurteilung seiner Ausführungen durch die Vorinstanz nicht teilt, stellt keine Gehörsverletzung dar, sondern beschlägt die Frage der materiellen Würdigung.</w:t>
      </w:r>
    </w:p>
    <w:p>
      <w:r>
        <w:rPr>
          <w:b/>
        </w:rPr>
        <w:t>E. 6.1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und darin drei schutzberechtigte Personengruppen definiert (vgl. BBl 2022 586): Ukraini- sche Staatsbürgerinnen und Staatsbürger sowie deren Familienangehö- rige, welche vor dem 24. Februar 2022 in der Ukraine wohnhaft waren (Bst. a der Allgemeinverfügung), Personen anderer Nationalität und Staa- tenlose (inkl. Familienangehörige), welche vor dem 24. Februar 2022 in der Ukraine einen Schutzstatus hatten (vgl. Bst. b) sowie Personen anderer Nationalität und Staatenlose (inkl. Familienangehörige), welche belegen können, dass sie über eine gültige ukrainische Aufenthaltsbewilligung ver- fügen und nicht in Sicherheit und dauerhaft in ihr Heimatland zurückkehren können (Bst. c).</w:t>
      </w:r>
    </w:p>
    <w:p>
      <w:r>
        <w:rPr>
          <w:b/>
        </w:rPr>
        <w:t>E. 7.1</w:t>
      </w:r>
    </w:p>
    <w:p>
      <w:r>
        <w:t>Das SEM führte zur Begründung der angefochtenen Verfügung im We- sentlichen aus, nachdem der Beschwerdeführer die Ukraine bereits im Jahr 2021 verlassen habe, gehöre er nicht zur vom Bundesrat definierten Gruppe der schutzbedürftigen Personen. Denn sein Lebensmittelpunkt</w:t>
      </w:r>
    </w:p>
    <w:p>
      <w:r>
        <w:t>D-549/2024 Seite 6 habe sich am 24. Februar 2022 ausserhalb der Ukraine – seines Heimat- staats – befunden. Obgleich seine Beschwerde gegen die Nichtgewährung des vorübergehenden Schutzes in den Niederlanden abgewiesen worden sei, hätten die Niederlande seiner Rückübernahme bedingungslos zuge- stimmt und sich bereit erklärt, seine Vorbringen in einem ordentlichen Asyl- verfahren zu prüfen. Dementsprechend seien die Befürchtungen des Be- schwerdeführers, er werde in den Niederlanden keinerlei Unterstützung und Zugang zu einer Unterkunft erhalten, unbegründet.</w:t>
      </w:r>
    </w:p>
    <w:p>
      <w:r>
        <w:rPr>
          <w:b/>
        </w:rPr>
        <w:t>E. 7.2</w:t>
      </w:r>
    </w:p>
    <w:p>
      <w:r>
        <w:t>In der Beschwerdeschrift macht der Beschwerdeführer geltend, zwar treffe es zu, dass er sich am 24. Februar 2022 nicht in der Ukraine befun- den habe, seine Rückreise in den Heimatstaat sei jedoch für den 10. März 2022 geplant gewesen. Aufgrund des Krieges habe er jedoch davon Ab- stand genommen, da er seine Rekrutierung für den Kriegsdienst gefürchtet habe, und sei stattdessen nach Ungarn gereist, wo er einige Zeit in einer Fabrik gearbeitet habe, bevor er in die Niederlande gereist sei. Darüber hinaus kenne er einige Landsleute, die sich wie er selbst am 24. Februar 2022 nicht in der Ukraine befunden hätten, denen aber dennoch in der Schweiz vorübergehender Schutz gewährt worden sei. Seinen ersten Ne- gativentscheid des SEM habe er bewusst nicht angefochten, da ihm seine damalige Rechtsvertretung in der Schweiz davon abgeraten habe. Dass seine Beschwerde in den Niederlanden erfolglos geblieben sei, sei sodann seiner dortigen Rechtsvertretung geschuldet, da diese eine Frist verpasst und ihm behördliche Korrespondenz vorenthalten habe. Da das vorge- nannte Verfahren nun abgeschlossen sei, sei ihm in der Schweiz nunmehr vorübergehender Schutz zu gewähren. Zudem führe er mittlerweile mit ei- ner in der Schweiz aufenthaltsberechtigten Landsfrau eine Beziehung.</w:t>
      </w:r>
    </w:p>
    <w:p>
      <w:r>
        <w:rPr>
          <w:b/>
        </w:rPr>
        <w:t>E. 8.1</w:t>
      </w:r>
    </w:p>
    <w:p>
      <w:r>
        <w:t>Nach Durchsicht der Akten schliesst sich das Bundesverwaltungs- gericht der Argumentation in der angefochtenen Verfügung an, welchen der Beschwerdeführer nichts Substantielles entgegenzuhalten vermag.</w:t>
      </w:r>
    </w:p>
    <w:p>
      <w:r>
        <w:rPr>
          <w:b/>
        </w:rPr>
        <w:t>E. 8.2</w:t>
      </w:r>
    </w:p>
    <w:p>
      <w:r>
        <w:t>Nachdem der Beschwerdeführer unbestrittenermassen ukrainischer Staatsangehöriger ist, kommt einzig Buchstabe a der Allgemeinverfügung zur Gewährung vorübergehenden Schutzes im Zusammenhang mit der Si- tuation in der Ukraine in Frage. Da er ebenso unbestritten am 24. Februar 2022 nicht in der Ukraine wohnhaft war, hat die Vorinstanz die Anwendbar- keit dieser Bestimmung zu Recht verneint. Sein diesbezügliches Vorbrin- gen in der Beschwerdeschrift, seine Rückreise habe unmittelbar bevorge- standen und sei nur durch den Kriegsausbruch verhindert worden, ist dabei wenig substanziiert und ohnehin nicht von Relevanz. Schliesslich stösst</w:t>
      </w:r>
    </w:p>
    <w:p>
      <w:r>
        <w:t>D-549/2024 Seite 7 auch der in der Beschwerde pauschal angeführte Vergleich mit Personen, die sich bei Kriegsausbruch ebenfalls nicht in der Ukraine aufgehalten hät- ten, von vornherein ins Leere, zumal es sich dabei lediglich um eine unbe- legte Behauptung handelt. Zudem bleibt der Beschwerdeführer Ausführun- gen dazu schuldig, inwiefern bei diesen Personen – abgesehen von der angeblichen Landesabwesenheit im fraglichen Zeitpunkt – die gleiche Konstellation wie in seinem Fall vorliegen soll. Bezeichnenderweise be- schränkt er sich ohne nachvollziehbare Erklärung darauf, diesbezüglich nur Teile eines Passes eines Landsmannes – dem die Schweiz vorüberge- henden Schutz gewährt haben soll – in Kopie einzureichen (vgl. Beschwer- debeilage 4). Kann eine valable Schutzalternative ausserhalb der Ukraine bejaht werden, ist die Gewährung des Schutzstatus für ukrainische Staats- angehörige, unabhängig von der Frage des Aufenthaltes im Zeitpunkt des Kriegsausbruchs, praxisgemäss ausgeschlossen, da sie nicht auf den Schutz der Schweiz angewiesen und entsprechend auch nicht schutzbe- dürftig im Sinne von Art. 4 AsyIG sind (vgl. BVGE 2022 VI/I E. 6.3). Eine ebensolche Konstellation liegt hier vor. Die niederländischen Behörden ak- zeptierten das Rückübernahmeersuchen des SEM am 28. November 2023 bedingungslos und präzisierten am 15. Dezember 2023, dass dem Be- schwerdeführer zwar nicht vorübergehender Schutz gewährt worden sei, er zur Durchführung eines ordentlichen Asylverfahrens jedoch in die Nie- derlande zurückkehren könne (vgl. A22/1 und 23/1). Damit verfügt der Be- schwerdeführer über eine Schutzalternative in einem anderen Staat, in dem er sich vor der Einreise in die Schweiz bereits über ein Jahr aufgehal- ten und – mangels anderweitiger Hinweise in den Akten – wohl auch Un- terstützungsleistungen erhalten hat (vgl. hierzu auch Urteil des BVGer E-5383/2022 vom 1. Dezember 2022 E. 6.2 m.w.H.). Vor diesem Hinter- grund erweist sich der Einwand des Beschwerdeführers, er können nicht in die Niederlande zurückkehren, da er dort keinen Schutz erhalte, als un- begründet. An dieser Einschätzung vermag auch die Argumentation in der Beschwerdeschrift, der Beschwerdeführer wolle in der Schweiz verbleiben, da er eine Beziehung mit einer in der Schweiz aufenthaltsberechtigten Landsfrau eingegangen sei und diese ihm nicht in die Niederlande folgen könne, nichts zu ändern. Nachdem der Beschwerdeführer weiter ausführt, sie lebten in einer «inoffiziellen Beziehung» (vgl. Beschwerde S. 7), er- scheint die behauptete Partnerschaft von vornherein nicht als eine solche, aus welcher er Ansprüche hinsichtlich eines Aufenthaltes in der Schweiz abzuleiten vermöchte und es erübrigen sich weitere Ausführungen dazu. Im Übrigen ist vollumfänglich auf die vorinstanzliche Verfügung zu verwei- sen.</w:t>
      </w:r>
    </w:p>
    <w:p>
      <w:r>
        <w:t>D-549/2024 Seite 8</w:t>
      </w:r>
    </w:p>
    <w:p>
      <w:r>
        <w:rPr>
          <w:b/>
        </w:rPr>
        <w:t>E. 8.3</w:t>
      </w:r>
    </w:p>
    <w:p>
      <w:r>
        <w:t>Daraus folgt, dass die Vorinstanz das Gesuch um vorübergehenden Schutz zu Recht abgelehnt hat und die Niederlande weiterhin für die Schutzgewährung des Beschwerdeführers zuständig sind.</w:t>
      </w:r>
    </w:p>
    <w:p>
      <w:r>
        <w:rPr>
          <w:b/>
        </w:rPr>
        <w:t>E. 9.1</w:t>
      </w:r>
    </w:p>
    <w:p>
      <w:r>
        <w:t>Lehnt das SEM ein Gesuch um Gewährung des vorübergehenden Schutzes ab, verfügt es in der Regel die Wegweisung aus der Schweiz und ordnet den Vollzug an (Art. 69 Abs. 4 AsylG).</w:t>
      </w:r>
    </w:p>
    <w:p>
      <w:r>
        <w:rPr>
          <w:b/>
        </w:rPr>
        <w:t>E. 9.2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11.1.1</w:t>
      </w:r>
    </w:p>
    <w:p>
      <w:r>
        <w:t>Der Vollzug ist nicht zulässig, wenn völkerrechtliche Verpflichtun- 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D-549/2024 Seite 9</w:t>
      </w:r>
    </w:p>
    <w:p>
      <w:r>
        <w:rPr>
          <w:b/>
        </w:rPr>
        <w:t>E. 11.1.2</w:t>
      </w:r>
    </w:p>
    <w:p>
      <w:r>
        <w:t>Der Beschwerdeführer hat in der Schweiz kein Asylgesuch gestellt. Den Akten sind auch keine Hinweise auf eine mögliche Verletzung des flüchtlingsrechtlichen Refoulement-Verbots zu entnehmen. Sodann erge- ben sich weder aus seinen Aussagen noch aus den Akten Anhaltspunkte dafür, dass er für den Fall einer Rückkehr in die Niederlande dort mit be- achtlicher Wahrscheinlichkeit einer nach Art. 3 EMRK oder Art. 1 FoK ver- botenen Strafe oder Behandlung ausgesetzt wäre.</w:t>
      </w:r>
    </w:p>
    <w:p>
      <w:r>
        <w:rPr>
          <w:b/>
        </w:rPr>
        <w:t>E. 11.1.3</w:t>
      </w:r>
    </w:p>
    <w:p>
      <w:r>
        <w:t>Nach dem Gesagten ist der Vollzug der Wegweisung sowohl im Sinne der asyl- als auch der völkerrechtlichen Bestimmungen zulässig.</w:t>
      </w:r>
    </w:p>
    <w:p>
      <w:r>
        <w:rPr>
          <w:b/>
        </w:rPr>
        <w:t>E. 11.2.1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11.2.2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und sie hat mithin ernsthafte Anhaltspunkte dafür vorzubringen, dass sie im betreffenden Staat aufgrund von individuellen Umständen sozialer, wirtschaftlicher oder gesundheitlicher Art in eine existenzielle Notlage geraten würde (vgl. Re- ferenzurteil des BVGer E-3427/2021 / E-3431/2021 vom 28. März 2022 E. 11.4).</w:t>
      </w:r>
    </w:p>
    <w:p>
      <w:r>
        <w:rPr>
          <w:b/>
        </w:rPr>
        <w:t>E. 11.2.3</w:t>
      </w:r>
    </w:p>
    <w:p>
      <w:r>
        <w:t>Dem Beschwerdeführer gelingt es nicht darzulegen, dass er bei ei- ner Rückkehr in die Niederlande in eine existenzielle Notlage geraten könnte. Sein wiederholtes unsubstantiiertes Vorbringen, er erhalte dort keine Unterstützung überzeugt nicht, zumal er dort bereits zuvor eine An- stellung gefunden hatte, ganz abgesehen davon, dass die Niederlande ausdrücklich darauf hingewiesen haben, es stehe ihm frei, dort ein Asylge- such einzureichen, womit er Zugang zu den entsprechenden Strukturen erhalten wird (vgl. A25/2). Sein Wunsch nach einem Verbleib in der Schweiz vermag nichts daran zu ändern. Es kann von ihm erwartet werden, sich nach seiner Rückkehr an die niederländischen Behörden zu wenden und bei Bedarf die ihm– dort zustehenden Unterstützungsleistungen ein- zufordern.</w:t>
      </w:r>
    </w:p>
    <w:p>
      <w:r>
        <w:t>D-549/2024 Seite 10</w:t>
      </w:r>
    </w:p>
    <w:p>
      <w:r>
        <w:rPr>
          <w:b/>
        </w:rPr>
        <w:t>E. 11.2.4</w:t>
      </w:r>
    </w:p>
    <w:p>
      <w:r>
        <w:t>Der Vollzug der Wegweisung erweist sich demnach auch als zu- mutbar.</w:t>
      </w:r>
    </w:p>
    <w:p>
      <w:r>
        <w:rPr>
          <w:b/>
        </w:rPr>
        <w:t>E. 11.3</w:t>
      </w:r>
    </w:p>
    <w:p>
      <w:r>
        <w:t>Der Beschwerdeführer verfügt denn auch über einen gültigen ukrai- nischen Reisepass und die niederländischen Behörden haben seiner Rückübernahme bedingungslos zugestimmt (vgl. A1/2, A22/1 und A23/1), weshalb sich der Vollzug der Wegweisung auch als möglich erweist (Art. 83 Abs. 2 AIG).</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13</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einbezahlte Kostenvorschuss ist für die Begleichung der Verfahrenskosten zu verwenden. (Dispositiv nächste Seite)</w:t>
      </w:r>
    </w:p>
    <w:p>
      <w:r>
        <w:t>D-549/2024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