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D-5499/2007 vom 21. August 2008</w:t>
      </w:r>
    </w:p>
    <w:p>
      <w:r>
        <w:t>Bundesverwaltungsgericht, 2008-08-21, DE</w:t>
      </w:r>
    </w:p>
    <w:p>
      <w:r>
        <w:rPr>
          <w:b/>
        </w:rPr>
        <w:t xml:space="preserve">Quelle: </w:t>
      </w:r>
      <w:r>
        <w:t>https://mcp.opencaselaw.ch/entscheid/bvger_D-5499_2007</w:t>
      </w:r>
    </w:p>
    <w:p>
      <w:r>
        <w:t>FR: TAF D-5499/2007 du 21 août 2008</w:t>
      </w:r>
    </w:p>
    <w:p>
      <w:r>
        <w:t>IT: TAF D-5499/2007 del 21 agosto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(Art. 108 Abs. 2 AsylG sowie Art. 6 AsylG i.V.m. Art. 52 VwVG). Der Beschwerdeführer ist durch die angefochtene Verfügung berührt und hat ein schutzwürdiges Interesse an deren Aufhebung beziehungsweise Änderung. Der Beschwerdeführer ist daher zur Einreichung der Beschwerde legitimiert (Art. 6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gemäss Art. 32-35a AsylG beschränkt sich das Bundesverwaltungsgericht grundsätzlich auf die Überprüfung der Frage, ob die Vorinstanz zu Recht auf das Asylgesuch nicht eingetreten ist. Gelangt es zum Schluss, der angefochtene Nichteintretensentscheid verletze Bundesrecht, enthält es sich einer selbständigen materiellen Prüfung, hebt die angefochtene Verfügung auf und weist die Sache zu neuer Entscheidung an die Vorinstanz zurück (BVGE 2007/8 E. 2.1 S. 73; Entscheidungen und Mitteilungen der Schweizerischen Asylrekurskommission [EMARK] 2004 Nr. 34 E. 2.1 S. 240 f.).</w:t>
      </w:r>
    </w:p>
    <w:p>
      <w:r>
        <w:rPr>
          <w:b/>
        </w:rPr>
        <w:t>E. 3.2</w:t>
      </w:r>
    </w:p>
    <w:p>
      <w:r>
        <w:t>Bei dem am 1. Januar 2007 in Kraft getretenen Nichteintretenstatbestand von Art. 32 Abs. 2 Bst. a und Abs. 3 AsylG, auf welchen sich die angefochtene Verfügung stützt, besteht die Besonderheit,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Nicht beschränkt ist die Beurteilungszuständigkeit des Bundesverwaltungsgerichts zudem in der Frage der Wegweisung und deren Vollzugs, weil das BFM sich diesbezüglich gemäss Art. 44 AsylG in Verbindung mit Art. 83 des Bundesgesetzes vom 16. Dezember 2005 über die Ausländerinnen und Ausländer (AuG, SR 142.20) auch materiell zur Sache zu äussern hat.</w:t>
      </w:r>
    </w:p>
    <w:p>
      <w:r>
        <w:rPr>
          <w:b/>
        </w:rPr>
        <w:t>E. 4.1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Identitätspapieren"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4.2</w:t>
      </w:r>
    </w:p>
    <w:p>
      <w:r>
        <w:t>Im vorliegenden Fall hat der Beschwerdeführer zwar innerhalb von 48 Stunden nach Einreichung des Asylgesuchs den Asylbehörden eine nationale Identitätskarte und einen Nationalitätenausweis eingereicht. Gemäss der durchgeführten Untersuchung der Identitätskarte im Urkundenlabor der Kantonspolizei Zürich weicht das fragliche Dokument in Bezug auf den Druck und die Nummerierung qualitativ eindeutig von den authentischen irakischen Identitätskarten ab. Der die Untersuchung durchführende Experte kommt deshalb zum Schluss, dass es sich bei der Identitätskarte des Beschwerdeführers um eine Totalfälschung handle. Zum selben Ergebnis kommt die BFM-interne Prüfung des Dokumentes. Das Ergebnis der Untersuchung des Nationalitätenausweises im Urkundenlabor der Kantonspolizei Zürich lautet dahingehend, dass das Spurenbild des Ausweises darauf hinweise, dass es sich bei diesem Dokument um eine Totalfälschung handle. Insbesondere wird vom Experten geltend gemacht, dass die "Perfora-tion" (Lichtbildsicherung) Merkmale einer manuellen Herstellung aufweise. Bei einer mechanischen Perforation würden die Löcher gleichmässig gestochen oder gestanzt. Die BFM-interne Prüfung des Nationalitätenausweises kommt zum Schluss, dass es sich auch bei diesem Dokument um eine Totalfälschung handle (vgl. dazu Urteil des Bundesverwaltungsgerichts vom 2. Juli 2007 [D-3361/2007]). Das Bundesverwaltungsgericht ist aufgrund der soeben erwähnten Expertisen sowie nach Prüfung der beiden dem Gericht im Orginal vorliegenden Dokumente ebenfalls der Ansicht, dass es sich sowohl bei der Identitätskarte als auch beim Nationalitätenausweis des Beschwerdeführers um Fälschungen handelt. Beide Dokumente sind aufgrund ihrer mangelhaften Machart als unechte Dokumente erkennbar. Beispielsweise ist deutlich sichtbar, dass die Perforation beim Nationalitätenausweis von Hand vorgenommen wurde und nicht - wie bei echten Ausweisen - mechanisch. Es liegen somit keine echten Identitätspapiere vor, weshalb bei dieser Sachlage die Identität des Beschwerdeführers nicht belegt ist. Reise- oder Identitätspapiere gemäss Art. 32 Abs. 2 Bst. a AsylG liegen aber nur vor, wenn dadurch die Identität der Person festgestellt werden kann. Bei gefälschten Dokumenten ist das jedoch nicht möglich, womit dargelegt ist, dass der Beschwerdeführer vorliegend keine rechtsgenügenden "Reise- oder Identitätspapiere" im Sinne von Art. 32 Abs. 2 Bst. a AsylG (vgl. BVGE 2007/7 E. 4-6) eingereicht hat.</w:t>
      </w:r>
    </w:p>
    <w:p>
      <w:r>
        <w:rPr>
          <w:b/>
        </w:rPr>
        <w:t>E. 4.3</w:t>
      </w:r>
    </w:p>
    <w:p>
      <w:r>
        <w:t>Im Folgenden ist zu prüfen, ob aus den unter E. 4.1 genannten Gründen die Bestimmung von Art. 32 Abs. 2 Bst. a AsylG keine Anwendung findet und deshalb auf das Asylgesuch trotz Nichteinreichen von echten Reise- oder Identitätspapieren einzutreten ist.</w:t>
      </w:r>
    </w:p>
    <w:p>
      <w:r>
        <w:rPr>
          <w:b/>
        </w:rPr>
        <w:t>E. 4.3.1</w:t>
      </w:r>
    </w:p>
    <w:p>
      <w:r>
        <w:t>Der Beschwerdeführer macht weder in der Beschwerdeschrift noch in seiner Stellungnahme zur Vernehmlassung der Vorinstanz entschuldbare Gründe geltend, die es ihm verunmöglicht hätten, den Behörden innerhalb von 48 Stunden nach Einreichung des Asylgesuches echte Reise- oder Identitätspapiere einzureichen. Auch aus den Akten sind solche entschuldbaren Gründe nicht ersichtlich. Aus der Tatsache, dass der Beschwerdeführer den Asylbehörden gefälschte Dokumente eingereicht hat, ist zu schliessen, dass er nicht gewillt ist, seine wahre Identität offenzulegen und aus diesem Grund keine echten Reise- oder Identitätspapiere abgegeben hat. Übereinstimmend mit der Vorinstanz ist daher das Vorliegen entschuldbarer Gründe zu verneinen.</w:t>
      </w:r>
    </w:p>
    <w:p>
      <w:r>
        <w:rPr>
          <w:b/>
        </w:rPr>
        <w:t>E. 4.3.2</w:t>
      </w:r>
    </w:p>
    <w:p>
      <w:r>
        <w:t>Im Weiteren ist zu prüfen, ob das BFM aufgrund der Anhörung zu Recht weder die Flüchtlingseigenschaft festgestellt noch zusätzliche Abklärungen zu deren Feststellung beziehungsweise derjenigen von Wegweisungsvollzugshindernissen als erforderlich erachtet hat. Vorab ist - um Wiederholungen zu vermeiden - auf die zutreffenden vorinstanzlichen Erwägungen zu verweisen. In Übereinstimmung mit der Vorinstanz ist festzuhalten, dass die Ausführungen des Beschwerdeführers zu seinen Asylgründen insgesamt als oberflächlich zu beurteilen sind und den Verdacht nahelegen, dass er das Erzählte nicht selber erlebt, sondern lediglich erfunden hat. Darauf deutet beispielsweise hin, dass er bei der freien Schilderung seiner Ausreisegründe anlässlich der Anhörung am 4. April 2007 beinahe vergass zu erwähnen, dass seine Freundin nach ihrer Entführung umgebracht worden sei. Zweifel an den Vorbringen des Beschwerdeführers weckt zudem die Tatsache, dass er bei der Anhörung keine Auskunft darüber geben konnte, welcher Kaste innerhalb der Glaubensgemeinschaft der Yeziden seine Freundin angehört hat (act. A 11/17, S. 9), obwohl die Kasten im Yezidentum eine wichtige Rolle spielen. Widersprüchlich äusserte sich der Beschwerdeführer überdies zur Dauer, während der er sich mit seiner Freundin bei seinem Onkel in der Region Dohuk aufgehalten haben soll. Bei der Befragung vom 14. März 2007 brachte er vor, sie hätten sich circa sechs Monate in der Nähe von Dohuk aufgehalten, (act. A 1/10, S. 5), bei der Anhörung vom 4. April 2007 behauptete er dagegen, sie hätten nur etwa 5 Wochen dort verbracht (act. A 11/17, S. 11). Zusammenfassend kann festgehalten werden, dass die Ausführungen des Beschwerdeführers zu seinen Asylgründen insgesamt als unglaubhaft zu beurteilen sind und er keine stichhaltigen Gründe geltend macht, die zur Feststellung der Flüchtlingseigenschaft führen oder zusätzliche Abklärungen gemäss Art. 32 Abs. 3 Bst. c AsylG als nötig erscheinen lassen, weshalb das diesbezügliche Rechtsbegehren abzuweisen ist.</w:t>
      </w:r>
    </w:p>
    <w:p>
      <w:r>
        <w:rPr>
          <w:b/>
        </w:rPr>
        <w:t>E. 4.3.3</w:t>
      </w:r>
    </w:p>
    <w:p>
      <w:r>
        <w:t>Somit waren im vorliegenden Fall die Voraussetzungen für ein Nichteintreten auf das Asylgesuch in Anwendung von Art. 32 Abs. 2 Bst. a und Abs. 3 AsylG gegeben. Das BFM ist demnach zu Recht auf das Asylgesuch des Beschwerdeführers nicht eingetreten. Bei dieser Sachlage erübrigt es sich, auf die diesbezüglichen Beschwerdevorbringen im Einzelnen einzugehen, weil sie nicht zu einer von der Vorinstanz veränderten Betrachtungsweise führen.</w:t>
      </w:r>
    </w:p>
    <w:p>
      <w:r>
        <w:rPr>
          <w:b/>
        </w:rPr>
        <w:t>E. 4.3.4</w:t>
      </w:r>
    </w:p>
    <w:p>
      <w:r>
        <w:t>Da es sich bei der Identitätskarte und beim Nationalitätenausweis des Beschwerdeführers um gefälschte Dokumente handelt, ist deren Einzug durch die Vorinstanz gestützt auf Art. 10 Abs. 4 AsylG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(unglaubhaften)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(vgl. BVGE 2008/4 E. 6.2 ff. und 6.6).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Bundesverwaltungsgericht ist im Urteil BVGE 2008/5 vom 14. März 2008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6.3.2</w:t>
      </w:r>
    </w:p>
    <w:p>
      <w:r>
        <w:t>Der Beschwerdeführer macht geltend, er habe von Geburt an bis zu seiner Ausreise aus dem Irak am 21. Februar 2007 in C._______ (Provinz E._______) gelebt. Der Sprach- und Herkunftexperte kam demgegenüber in seiner Expertise vom 17. April 2007 aufgrund der fehlenden landeskundlich-kulturellen Kenntnisse des Beschwerdeführers von dieser Region und wegen dessen Art zu Sprechen zum Schluss, dass der Beschwerdeführer mit Sicherheit nicht in C._______ hauptsozialisiert worden ist. Übereinstimmend mit der Vorinstanz ist festzuhalten, dass der Beschwerdeführer ganz offensichtlich mit den Gegebenheiten in seiner angeblichen Heimatstadt C._______ und deren Umgebung überhaupt nicht vertraut ist. So konnte er beispielsweise anlässlich der Lingua-Expertise keine speziellen Bauwerke von C._______, wie Kirchen, Moscheen oder Ruinen erwähnen, was erstaunlich ist, da es sich bei C._______ um eine historische Stadt handelt. Zudem kannte der Beschwerdeführer weder den Namen des Stadtspitals noch konnte er Namen von Dörfern nennen, die sich nahe der Stadt C._______ befinden. Deshalb ist davon auszugehen, dass der Beschwerdeführer nicht in C._______ hauptsozialisiert wurde. Der Sprach- und Herkunftexperte kam in seinem Gutachten durch eine exakte Analyse der Sprache des Beschwerdeführers zum Schluss, dass dieser einen für die Region von Dohuk typischen Dialekt spricht. Der Experte folgerte daraus, dass der Beschwerdeführer höchstwahrscheinlich in Dohuk hauptsozialisiert worden ist (act. A 24/4). Es besteht vorliegend - in Übereinstimmung mit der Vorinstanz - kein Grund, an dieser Einschätzung des Sprachexperten zu zweifeln. Deshalb ist davon auszugehen, dass der Beschwerdeführer in Dohuk sozialisiert worden ist, weshalb seine Rückkehr dorthin - falls keine individuellen Gründe gegen eine Rückkehr sprechen - als zumutbar zu erachten ist. Der Einwand des Beschwerdeführers, wonach im vorliegenden Fall der Sprach- und Herkunftsexperte nicht genügend kompetent sei, um seine Herkunft mit grosser Wahrscheinlichkeit zu bestimmen, da dieser die Provinz E._______ fälschlicherweise als Provinz F._______ bezeichnet habe, kann nicht gehört werden. Der Sprach- und Herkunftsexperte, der im vorliegenden Fall die Lingua-Expertise durchgeführt hat, ist ein ausgewiesener Kenner der landeskundlich-kulturellen und sprachlichen Gegebenheiten im Irak (vgl. act. A 19/1). Seine Kompetenz wird regelmässig geprüft beziehungsweise überprüft. Es rechtfertigt sich deshalb vorliegend, auf sein Urteil abzustellen, auch wenn er fälschlicherweise die Provinz E._______ als Provinz F._______ bezeichnet hat.</w:t>
      </w:r>
    </w:p>
    <w:p>
      <w:r>
        <w:rPr>
          <w:b/>
        </w:rPr>
        <w:t>E. 6.3.3</w:t>
      </w:r>
    </w:p>
    <w:p>
      <w:r>
        <w:t>Aus den Akten ergeben sich keine Anhaltspunkte, die darauf schliessen liessen, der alleinstehende, heute (...) jährige und - soweit aktenkundig - gesunde Beschwerdeführer gerate im Falle der Rückkehr in seine Heimat aus individuellen Gründen wirtschaftlicher, sozialer oder gesundheitlicher Natur in eine existenzbedrohende Situation. Gemäss eigenen Angaben verfügt er zwar nur über eine kurze Schulbildung, er hat jedoch von 1997 bis zu seiner Ausreise aus dem Irak auf dem Bau als Handlanger und vorher als Verkäufer gearbeitet. Aufgrund dieser Arbeitserfahrung ist davon auszugehen, dass er in der Lage sein wird, sich in seiner Heimat eine wirtschaftliche Existenzgrundlage zu erarbeiten. Dies umso mehr, als er auf die Hilfe seines dort ansässigen Onkels zurückgreifen kann. Da davon auszugehen ist, dass der Beschwerdeführer nicht in der Stadt C._______, sondern in der Provinz Dohuk sozialisiert worden ist, kann zudem angenommen werden, dass nicht nur ein Onkel - wie vom Beschwerdeführer behauptet - in Dohuk lebt, sondern noch weitere Verwandte und Freunde dort wohnen, die den Beschwerdeführer in der ersten Phase der Rückkehr unterstützen werden. Der Vollzug der Wegweisung erweist sich mithin nicht als unzumutbar im Sinne von Art. 83 Abs. 4 AuG.</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 der Beschwerdeführer mit seiner Beschwerde vollumfänglich unterlegen ist, wären ihm grundsätzlich die Verfahrenskosten aufzuerlegen (Art. 63 Abs. 1 und 5 VwVG) und auf insgesamt Fr. 600.-- festzusetzen (Art. 1-3 des Reglements vom 21. Februar 2008 über die Kosten und Entschädigungen vor dem Bundesverwaltungsgericht [VGKE, SR 173.320.2]).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Vollzugspunkt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