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D-5488/2015 vom 20. September 2016</w:t>
      </w:r>
    </w:p>
    <w:p>
      <w:r>
        <w:t>Bundesverwaltungsgericht, 2016-09-20, DE</w:t>
      </w:r>
    </w:p>
    <w:p>
      <w:r>
        <w:rPr>
          <w:b/>
        </w:rPr>
        <w:t xml:space="preserve">Quelle: </w:t>
      </w:r>
      <w:r>
        <w:t>https://mcp.opencaselaw.ch/entscheid/bvger_D-5488_2015</w:t>
      </w:r>
    </w:p>
    <w:p>
      <w:r>
        <w:t>FR: TAF D-5488/2015 du 20 septembre 2016</w:t>
      </w:r>
    </w:p>
    <w:p>
      <w:r>
        <w:t>IT: TAF D-5488/2015 del 20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Zuge der Rückweisung der Sache an die Vorinstanz wegen mangelhafter Feststellung des Sachverhalts, wurde vom Bundesverwaltungsgericht bereits festgehalten, dass der Frage der Verlässlichkeit der Herkunftsangaben der Beschwerdeführerin wesentliche Bedeutung zukommt. Die mit Urteil D-5625/2013 vom 29. September 2014 getroffenen rechtlichen Überlegungen werden folgend nochmals zusammengefasst, da sie für Beurteilung des vorliegenden Sachverhalts grundlegend sind:</w:t>
      </w:r>
    </w:p>
    <w:p>
      <w:r>
        <w:rPr>
          <w:b/>
        </w:rPr>
        <w:t>E. 4.2</w:t>
      </w:r>
    </w:p>
    <w:p>
      <w:r>
        <w:t>Gemäss den Entscheidungen und Mitteilungen der Schweizerischen Asylrekurskommission (EMARK) 2005 Nr. 1 ist auf eine chinesische Staatsangehörigkeit zu schliessen, wenn im Einzelfall als erstellt gilt, dass eine asylsuchende Person tibetischer Ethnie sei. Dies ist durch die Rechtsprechung des Bundesverwaltungsgerichts weiter präzisiert worden (BVGE 2014/12 E. 5). Bei Personen tibetischer Ethnie, die ihre wahre Herkunft verschleiern oder verheimlichen, ist vermutungsweise davon auszugehen, dass keine flüchtlings- oder wegweisungsbeachtlichen Gründe gegen eine Rückkehr an ihren bisherigen Aufenthaltsort bestünden (BVGE 2014/12 E. 5.10). Die Abklärungspflicht der Asylbehörden findet ihre Grenze an der Mitwirkungspflicht der asylsuchenden Person. Verunmöglicht eine tibetische asylsuchende Person durch die Verletzung ihrer Mitwirkungspflicht die Abklärung, welchen effektiven Status sie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5.1</w:t>
      </w:r>
    </w:p>
    <w:p>
      <w:r>
        <w:t>Der angefochtene Entscheid stützt sich massgeblich auf die am 27. März 2015 erstellte sprach- und länderkundliche Herkunftsanalyse (sogenannte Lingua-Analyse). Dabei wurden sowohl die sprachlichen Fähigkeiten als auch die landeskundlich-kulturellen Kenntnisse der Beschwerdeführerin geprüft.</w:t>
      </w:r>
    </w:p>
    <w:p>
      <w:r>
        <w:rPr>
          <w:b/>
        </w:rPr>
        <w:t>E. 5.2</w:t>
      </w:r>
    </w:p>
    <w:p>
      <w:r>
        <w:t>Bei Herkunftsanalysen der Fachstelle LINGUA handelt es sich zwar praxisgemäss nicht um Sachverständigengutachten im Sinne von Art. 12 Bst. e VwVG (vgl. hierzu Art. 57-61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w:t>
      </w:r>
    </w:p>
    <w:p>
      <w:r>
        <w:rPr>
          <w:b/>
        </w:rPr>
        <w:t>E. 5.3</w:t>
      </w:r>
    </w:p>
    <w:p>
      <w:r>
        <w:t>Die vorliegende Herkunftsanalyse lässt in nachvollziehbarer Weise auf die fehlende Sozialisation der Beschwerdeführerin im behaupteten Herkunftsraum schliessen. Hingegen vermögen die Ausführungen der Beschwerdeführerin, wonach im Dorf B._______ ein Standardtibetisch gesprochen würde, das jenem der Diaspora ähnlich sei, das sprachwissenschaftlich belegte gegenteilige Ergebnis nicht zu entkräften. Die Einschätzung der Beschwerdeführerin, die Vorinstanz würde ihr allein aufgrund der fehlenden gültigen (tibetischen) Reisepapiere vorhalten, sie sei in Indien oder Nepal sozialisiert worden, entspricht nicht der vorliegenden Sachlage. Vielmehr stützt sich die Vorinstanz auf das nachvollziehbare Ergebnis des LINGUA Gutachtens und die substanzlosen Asylvorbringen der Beschwerdeführerin. Der Einwand der Beschwerdeführerin, dass sie aus einfachen Verhältnissen stamme und daher weder über Chinesischkenntnisse noch über ein grundlegendes Wissen über das Schulwesen verfüge, reicht nicht aus, ihre Herkunft aus B._______ glaubhaft zu machen. Auch wenn man in Betracht zieht, dass die Beschwerdeführerin zum Zeitpunkt des Interviews aufgrund von Nervosität nicht alle Fragen zur administrativen Zuordnung von Ortschaften und zur Tierzucht beantworten konnte, liegen aufgrund der Herkunftsanalyse genügend andere Hinweise auf eine fehlende Hauptsozialisierung in D._______ vor. Durch die Sprachanalyse ist nachvollziehbar dargelegt, dass sie den Dialekt ihrer angeblichen Herkunftsregion nicht sprechen kann. Ein weiteres Indiz sind die unplausiblen Angaben zur Erntezeit, die mit November zu spät ausfallen würde, weil zu dieser Zeit in ihrer angeblichen Herkunftsregion Frost herrscht. Der auf Beschwerdeebene eingereichte Brief der Angehörigen, demzufolge die Behörde ihre Identitätskarte konfisziert habe, kann zu keiner anderen Einschätzung führen, ebenso wie die aktenkundige Bestätigung des J._______ vom (...) 2013, in dem der Beschwerdeführerin eine "tibetische Abstammung" attestiert wurde.</w:t>
      </w:r>
    </w:p>
    <w:p>
      <w:r>
        <w:rPr>
          <w:b/>
        </w:rPr>
        <w:t>E. 5.4</w:t>
      </w:r>
    </w:p>
    <w:p>
      <w:r>
        <w:t>Aufgrund dieses Ergebnisses konnte die Vorinstanz mit hinreichender Sicherheit davon ausgehen, dass die Angaben der Beschwerdeführerin unglaubhaft sind und dass auf eine Verschleierung der tatsächlichen Herkunft zu schliessen ist.</w:t>
      </w:r>
    </w:p>
    <w:p>
      <w:r>
        <w:rPr>
          <w:b/>
        </w:rPr>
        <w:t>E. 5.5</w:t>
      </w:r>
    </w:p>
    <w:p>
      <w:r>
        <w:t>Der Argumentation der Beschwerdeführerin, wonach allein aufgrund der Zugehörigkeit zur tibetischen Ethnie auch bei einer Verschleierung der Identität eine Verfolgung in Hinblick auf China zu prüfen sei, kann nicht Folge geleistet werden. Diesbezüglich ist auf die unter Ziff. 4.2 erläuterte Präzisierung der Rechtsprechung des Bundesverwaltungsgerichts hinzuweisen.</w:t>
      </w:r>
    </w:p>
    <w:p>
      <w:r>
        <w:rPr>
          <w:b/>
        </w:rPr>
        <w:t>E. 5.6</w:t>
      </w:r>
    </w:p>
    <w:p>
      <w:r>
        <w:t>Aus den vorgenannten Gründen ist es der Beschwerdeführerin weder gelungen, Asylgründe glaubhaft im Sinne von Art. 7 AsylG zu machen, noch die behauptete Herkunft aus China nachzuweisen oder zumindest glaubhaft zu machen. Damit stossen auch die Vorbringen über das angebliche Vorliegen subjektiver Nachfluchtgründe zufolge illegaler Ausreise aus China ins Leere. Die Vorinstanz hat daher zu Recht die Flüchtlingseigenschaft verneint und das Asylgesuch abgelehnt.</w:t>
      </w:r>
    </w:p>
    <w:p>
      <w:r>
        <w:rPr>
          <w:b/>
        </w:rPr>
        <w:t>E. 6</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Es sind vorliegend keine Gründe ersichtlich, die in rechtserheblicher Weise gegen den von der Vorinstanz angeordneten Vollzug der Wegweisung sprechen würden. Es ist von der Zulässigkeit, Zumutbarkeit und Möglichkeit des Wegweisungsvollzuges auszugehen (Art. 83 Abs. 2 - 4 AuG).</w:t>
      </w:r>
    </w:p>
    <w:p>
      <w:r>
        <w:rPr>
          <w:b/>
        </w:rPr>
        <w:t>E. 7.2.1</w:t>
      </w:r>
    </w:p>
    <w:p>
      <w:r>
        <w:t>Der Vollzug ist in Beachtung der massgeblichen völker- und landesrechtlichen Bestimmungen als zulässig zu erkennen, da die Beschwerdeführerin keine Hinweise auf Verfolgung darzulegen vermochte und auch keine glaubhaften Anhaltspunkte für eine menschenrechtswidrige Behandlung im Sinne von Art. 3 der Europäischen Menschenrechtskonvention vom 4. November 1950 (EMRK, SR 0.101) ersichtlich sind.</w:t>
      </w:r>
    </w:p>
    <w:p>
      <w:r>
        <w:rPr>
          <w:b/>
        </w:rPr>
        <w:t>E. 7.2.2</w:t>
      </w:r>
    </w:p>
    <w:p>
      <w:r>
        <w:t>Vorliegend scheitern auch die Vorbringen der Beschwerdeführerin, wonach sie in Bezug auf Nepal eine Kettenabschiebung zu befürchten habe, beziehungsweise sie sich keine Reisepapiere besorgen könne und nirgends hinkönne. Zwar sind die Zulässigkeit, Zumutbarkeit und Möglichkeit eines Wegweisungsvollzugs von Amtes wegen zu prüfen, die Untersuchungspflicht findet jedoch ihre Grenzen an der Mitwirkungspflicht der Beschwerdeführerin. Insofern hat sie die Folgen der Verheimlichung ihrer tatsächlichen Herkunft zu tragen, indem vermutungsweise davon ausgegangen wird, es spreche nichts gegen eine Rückkehr an ihren tatsächlichen Herkunftsort (vgl. dazu EMARK 2005 Nr. 1, E. 3.2.2; vgl. ferner BVGE 2014/12 E 6 [zweiter und dritter Absatz]).</w:t>
      </w:r>
    </w:p>
    <w:p>
      <w:r>
        <w:rPr>
          <w:b/>
        </w:rPr>
        <w:t>E. 8</w:t>
      </w:r>
    </w:p>
    <w:p>
      <w:r>
        <w:t>Da die Beschwerdeführerin unbestrittenermassen tibetischer Ethnie ist und von daher die Möglichkeit besteht, dass sie die chinesische Staatsangehörigkeit besitzt, ist vorliegend der Wegweisungsvollzug nach China im Sinne von Art. 45 Abs. 1 Bst. d AsylG auszuschliessen (vgl. dazu BVGE 2014/12 E. 6).</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Da im Rahmen der Zwischenverfügung vom 15. September 2015 dem Gesuch um Erlass der Verfahrenskosten (im Sinne von Art. 65 Abs. 1 VwVG) entsprochen wurde und sich die finanzielle Situation der Beschwerdeführerin in der Zwischenzeit soweit ersichtlich nicht massgeblich verändert hat, ist indes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