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D-5487/2014 vom 29. Oktober 2014</w:t>
      </w:r>
    </w:p>
    <w:p>
      <w:r>
        <w:t>Bundesverwaltungsgericht, 2014-10-29, DE</w:t>
      </w:r>
    </w:p>
    <w:p>
      <w:r>
        <w:rPr>
          <w:b/>
        </w:rPr>
        <w:t xml:space="preserve">Quelle: </w:t>
      </w:r>
      <w:r>
        <w:t>https://mcp.opencaselaw.ch/entscheid/bvger_D-5487_2014</w:t>
      </w:r>
    </w:p>
    <w:p>
      <w:r>
        <w:t>FR: TAF D-5487/2014 du 29 octobre 2014</w:t>
      </w:r>
    </w:p>
    <w:p>
      <w:r>
        <w:t>IT: TAF D-5487/2014 del 29 ottobre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 wurde auf Englisch und somit nicht einer Amtssprache des Bundes abgefasst. Auf die Ansetzung einer Frist zur Beschwerdeverbesserung oder die Einholung einer Übersetzung kann indessen aus prozessökonomischen Gründen praxisgemäss verzichtet werden, da der Eingabe des Beschwerdeführers genügend klare, sinngemässe Rechtsbegehren sowie eine Begründung derselben zu entnehmen sind und darüber ohne Weiteres befunden werden kann.</w:t>
      </w:r>
    </w:p>
    <w:p>
      <w:r>
        <w:rPr>
          <w:b/>
        </w:rPr>
        <w:t>E. 1.4</w:t>
      </w:r>
    </w:p>
    <w:p>
      <w:r>
        <w:t>Die Beschwerde ist frist- und nach dem Gesagten auch formgerecht eingereicht, und der Beschwerdeführer ist gemäss Art. 48 Abs. 1 VwVG zur Be­schwerde berechtigt. Auf die Beschwerde ist somit einzutreten (Art. 50 und 52 VwVG).</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w:t>
      </w:r>
    </w:p>
    <w:p>
      <w:r>
        <w:rPr>
          <w:b/>
        </w:rPr>
        <w:t>E. 3</w:t>
      </w:r>
    </w:p>
    <w:p>
      <w:r>
        <w:t>Gestützt auf Art. 57 Abs. 1 VwVG i.V.m. Art. 37 VGG wird vorliegend auf einen Schriftenwechsel verzichtet, da sich die Beschwerde, wie nachfolgend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Der angefochtenen Verfügung liegt das Gesuch eines sri-lankischen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(sogenannte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529/2001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Gewähr für ihre fristgerechte Wiederausreise aus dem Schengen-Raum vor Ablauf der Gültigkeitsdauer des beantragten Visums zu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in Ausnahmefällen ein Visum mit räumlich beschränkter Gültigkeit erteilt werden. Von dieser Möglichkeit kann ein Mitgliedstaat Gebrauch machen, wenn er die Visumserteilung im konkreten Fall aus humanitären Gründen, aus Gründen des nationalen Interesses oder aufgrund internationaler Verpflichtungen für erforderlich hält (vgl. Art. 2 Abs. 4 und Art. 12 Abs. 4 VEV, Art. 25 Abs. 1 Bst. a Visakodex; s. auch Art. 5 Abs. 4 Bst. c Schengener Grenzkodex).</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BFM ein Einreisevisum zu erteilen (vgl. Art. 2 Abs. 4 VEV [in Kraft getreten am 1. Oktober 2012]). Sobald sich der Inhaber/die Inhaberin eines Visums aus humanitären Gründen in der Schweiz befindet, muss ein Asylgesuch eingereicht werden. Im Unterlassungsfall hat die betreffende Person die Schweiz nach drei Monaten wieder zu verlassen.</w:t>
      </w:r>
    </w:p>
    <w:p>
      <w:r>
        <w:rPr>
          <w:b/>
        </w:rPr>
        <w:t>E. 5.2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demnach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Ob eine solche Gefährdung vorliegt, ist im Einzelfall sorgfältig zu prüfen. Befindet sich die Person bereits in einem Drittstaat, ist in der Regel davon auszugehen, dass keine Gefährdung mehr besteht. Die Einreisevoraussetzungen sind somit beim Visumverfahren noch restriktiver als bei den vormaligen Auslandgesuchen, bei denen Einreisebewilligungen nur sehr zurückhaltend erteilt wurden beziehungsweise (bei den noch hängigen Verfahren) werden (vgl. zur entsprechenden Praxis BVGE 2011/10 E. 3.3). Auf diesen Umstand hatte auch der Bundesrat in seiner Botschaft vom 26. Mai 2010 hingewiesen (vgl. BBl 2010 S. 4468, 4490).</w:t>
      </w:r>
    </w:p>
    <w:p>
      <w:r>
        <w:rPr>
          <w:b/>
        </w:rPr>
        <w:t>E. 6.1</w:t>
      </w:r>
    </w:p>
    <w:p>
      <w:r>
        <w:t>Das BFM bringt zur Begründung seines Einspracheentscheids im Wesentlichen vor, es sei aufgrund der gesamten Umstände nicht gewährleistet, dass der Beschwerdeführer die Schweiz vor Ablauf des Visums wieder verlassen werde. Daher seien die Voraussetzungen für die Erteilung eines für den gesamten Schengen-Raum geltenden Visums nicht gegeben. Im Weiteren sei den Akten nicht zu entnehmen, dass er an seinem Herkunftsort unmittelbar, ernsthaft und konkret an Leib und Leben gefährdet sei. Er befinde sich nicht in einer besonderen Notsituation, welche ein behördliches Eingreifen unerlässlich mache. Daher bestehe auch keine Veranlassung, ihm ein humanitäres Visum mit räumlicher Beschränkung auszustellen.</w:t>
      </w:r>
    </w:p>
    <w:p>
      <w:r>
        <w:rPr>
          <w:b/>
        </w:rPr>
        <w:t>E. 6.2</w:t>
      </w:r>
    </w:p>
    <w:p>
      <w:r>
        <w:t>In der Beschwerde macht der Beschwerdeführer geltend, die sri-lankische Armee bedrohe sein Leben, seine Situation sei gefährlich. Die sri-lankische Armee fürchte sich vor einem Wiedererstarken der LTTE und töte daher willkürlich inhaftierte tamilische Jugendliche. Er sei ebenfalls ein ehemaliger Häftling, weshalb auch er gefährdet sei. Sodann werden die bereits in der Einsprache gemachten Ausführungen (vgl. dazu vorstehend der Abschnitt B im Sachverhalt) wiederholt.</w:t>
      </w:r>
    </w:p>
    <w:p>
      <w:r>
        <w:rPr>
          <w:b/>
        </w:rPr>
        <w:t>E. 7.1</w:t>
      </w:r>
    </w:p>
    <w:p>
      <w:r>
        <w:t>Als sri-lankischer Staatsangehöriger unterliegt der Beschwerdeführer der Visumspflicht gemäss Art. 4 VEV bzw. der Verordnung (EG) Nr. 539/2001 (vgl. vorstehend E. 4.3).</w:t>
      </w:r>
    </w:p>
    <w:p>
      <w:r>
        <w:rPr>
          <w:b/>
        </w:rPr>
        <w:t>E. 7.2</w:t>
      </w:r>
    </w:p>
    <w:p>
      <w:r>
        <w:t>Seitens des Beschwerdeführers wird nicht bestritten, dass die vom BFM in seinem Einspracheentscheid dargelegten Voraussetzungen für die Erteilung eines Schengen-Visums nicht erfüllt sind; es werden namentlich keine stichhaltigen Argumente vorgetragen, welche die Einschätzung des BFM, wonach eine Wiederausreise des Beschwerdeführers aus dem Schengen-Raum vor Ablauf des Visums nicht gewährleistet sei, widerlegen könnten. Da der Beschwerdeführer um Schutz vor Gefährdungen in seinem Heimatland ersucht, ist eher das Gegenteilige anzunehmen. Der Beschwerdeführer rügt in seiner Beschwerde jedoch sinngemäss, das BFM habe ihm zu Unrecht die Erteilung eines Visums aus humanitären Gründen verweigert.</w:t>
      </w:r>
    </w:p>
    <w:p>
      <w:r>
        <w:rPr>
          <w:b/>
        </w:rPr>
        <w:t>E. 7.3</w:t>
      </w:r>
    </w:p>
    <w:p>
      <w:r>
        <w:t>Den Akten zufolge war der Beschwerdeführer ab dem Jahr 2006 ungefähr drei Jahre lang als Chauffeur für die LTTE tätig. Im April 2009 wurde er durch die sri-lankische Armee festgenommen und inhaftiert. Seine Freilassung erfolgte am 1. September 2013. In der Folge sei er beobachtet, befragt und zudem am 25. November 2013 für zwei Tage festgehalten worden. Bei dieser Sachlage ist davon auszugehen, dass vorliegend die Voraussetzungen für die Erteilung eines humanitären Visums nicht erfüllt sind. Seit seiner Haftentlassung im September 2013 wurde der Beschwerdeführer offenbar lediglich noch einmal, im November 2013, konkret durch die sri-lankische Armee behelligt (vorübergehende Festnahme zur Überwachung). Ansonsten hatte er seither keine konkreten Nachteile mehr zu erleiden. Da er bereits eine längere Haft hinter sich hat, aus welcher er ordentlich entlassen wurde, und bei den LTTE eigenen Angaben zufolge keine führende Funktion innehatte, erscheint es wenig wahrscheinlich, dass er in absehbarer Zukunft erneut von den sri-lanksichen Behörden inhaftiert oder gar, wie von ihm befürchtet, umgebracht wird. Zwar ist verständlich, dass er seine Lage subjektiv als ungemütlich empfindet; jedoch bestehen im vorliegenden Fall keine konkreten Anzeichen dafür, dass der Beschwerdeführer in Sri Lanka unmittelbar, ernsthaft und konkret an Leib und Leben bedroht ist. Wie vom BFM zu Recht erwogen wurde, befindet er sich somit nicht in einer besonderen Notsituation, die ein behördliches Eingreifen zwingend erforderlich machen würde. Insgesamt ist festzustellen, dass das BFM die Einsprache vom 27. Mai 2014 zu Recht abgewiesen und dem Beschwerdeführer die Erteilung eines humanitären Visums verweigert hat.</w:t>
      </w:r>
    </w:p>
    <w:p>
      <w:r>
        <w:rPr>
          <w:b/>
        </w:rPr>
        <w:t>E. 8</w:t>
      </w:r>
    </w:p>
    <w:p>
      <w:r>
        <w:t>Zusammenfassend ist festzustellen, dass die angefochtene Verfügung kein Bundesrecht verletzt, den rechtserheblichen Sachverhalt richtig und vollständig feststellt und auch sonst nicht zu beanstanden ist (Art. 49 VwVG). Die Beschwerde ist daher abzuweisen.</w:t>
      </w:r>
    </w:p>
    <w:p>
      <w:r>
        <w:rPr>
          <w:b/>
        </w:rPr>
        <w:t>E. 9</w:t>
      </w:r>
    </w:p>
    <w:p>
      <w:r>
        <w:t>Bei diesem Ausgang des Verfahrens wären dessen Kosten grundsätzlich dem unterlegenen Beschwerdeführer aufzuerlegen. Im vorliegenden Fall ist jedoch aus verwaltungsökonomischen Gründen in Anwendung von Art. 63 Abs. 1 in fine VwVG und Art. 6 Bst. b des Reglements vom 21. Februar 2008 über die Kosten und Entschädigungen vor dem Bundesverwaltungsgericht (VGKE, SR 173.320.2) praxisgemäss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