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D-5478/2022 vom 2. Dezember 2022</w:t>
      </w:r>
    </w:p>
    <w:p>
      <w:r>
        <w:t>Bundesverwaltungsgericht, 2022-12-02, FR</w:t>
      </w:r>
    </w:p>
    <w:p>
      <w:r>
        <w:rPr>
          <w:b/>
        </w:rPr>
        <w:t xml:space="preserve">Quelle: </w:t>
      </w:r>
      <w:r>
        <w:t>https://mcp.opencaselaw.ch/entscheid/bvger_D-5478_2022</w:t>
      </w:r>
    </w:p>
    <w:p>
      <w:r>
        <w:t>FR: TAF D-5478/2022 du 2 décembre 2022</w:t>
      </w:r>
    </w:p>
    <w:p>
      <w:r>
        <w:t>IT: TAF D-5478/2022 del 2 dicembre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 ATAF 2019 VII/6 consid. 4.1 ; 2013/34 consid. 4.2 ; 2013/23 consid. 6.1.3 ; 2010/35 consid. 4.1.1, et la jurisprudence citée).</w:t>
      </w:r>
    </w:p>
    <w:p>
      <w:r>
        <w:rPr>
          <w:b/>
        </w:rPr>
        <w:t>E. 2.1</w:t>
      </w:r>
    </w:p>
    <w:p>
      <w:r>
        <w:t>Le recourant a fait préliminairement valoir que le SEM aurait insuffisamment instruit la cause, dès lors qu'il n'aurait pas tenu compte de sa situation, en particulier des violences et tortures subies en Croatie, respectivement au Burundi. Par ailleurs, il n'aurait pas eu la possibilité de s'exprimer en détail sur ces questions lors de l'entretien « Dublin ».</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2.1.2</w:t>
      </w:r>
    </w:p>
    <w:p>
      <w:r>
        <w:t>En l'espèce, force est de constater que le recourant a eu tout loisir de s'exprimer sur son séjour en Croatie et les violences qu'il y aurait subies, ce qu'il a d'ailleurs fait lors de l'entretien « Dublin ». Par sa signature, il a également confirmé que le procès-verbal était conforme à ses déclarations, formulées en toute liberté, et qu'il lui avait été lu phrase par phrase et traduit dans une langue qu'il comprenait. Tout défaut d'instruction sur ce point peut donc être écarté. Pour le reste, il lui incombait de demander que soient inscrits au procès-verbal d'éventuels éléments complémentaires, s'il y en avait, ce que ni lui ni son mandataire n'ont fait. En outre, il est observé que le recours ne consacre aucun développement à ce sujet. Les griefs portant sur les motifs d'asile sont, eux, irrecevables, dès lors que l'objet du litige ne porte que sur le bien-fondé de la décision de non-entrée en matière (cf. infra consid. 3).</w:t>
      </w:r>
    </w:p>
    <w:p>
      <w:r>
        <w:rPr>
          <w:b/>
        </w:rPr>
        <w:t>E. 2.1.3</w:t>
      </w:r>
    </w:p>
    <w:p>
      <w:r>
        <w:t>Pour le surplus, la question de la situation en Croatie relève du fond et sera examinée dans les considérants ci-après.</w:t>
      </w:r>
    </w:p>
    <w:p>
      <w:r>
        <w:rPr>
          <w:b/>
        </w:rPr>
        <w:t>E. 2.2</w:t>
      </w:r>
    </w:p>
    <w:p>
      <w:r>
        <w:t>Dans ces conditions, les griefs d'ordre formels invoqués par le recourant doivent être rejetés.</w:t>
      </w:r>
    </w:p>
    <w:p>
      <w:r>
        <w:rPr>
          <w:b/>
        </w:rPr>
        <w:t>E. 3</w:t>
      </w:r>
    </w:p>
    <w:p>
      <w:r>
        <w:t>Saisi d'un recours contre une décision de non-entrée en matière sur une demande d'asile, le Tribunal se limite à examiner le bien-fondé d'une telle décision (cf. ATAF 2014/39 consid. 2).</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reprise en charge (anglais : take back), comme l'espèce, il n'y a en principe aucun nouvel examen de la compétence selon le chapitre III du règlement Dublin III (cf. ATAF 2019 VI/7 consid. 4-6 ; 2017 VI/5 consid. 6.2 et 8.2.1). L'Etat membre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exposé précédemment, les investigations entreprises par le SEM ont révélé, après consultation de la base de données « Eurodac », que le recourant a déposé une demande d'asile en Croatie le 28 septembre 2022.</w:t>
      </w:r>
    </w:p>
    <w:p>
      <w:r>
        <w:rPr>
          <w:b/>
        </w:rPr>
        <w:t>E. 5.2</w:t>
      </w:r>
    </w:p>
    <w:p>
      <w:r>
        <w:t>Le 17 octobre 2022, le SEM a dès lors soumis aux autorités croates, dans le délai fixé à l'art. 23 par. 2 du règlement Dublin III, une requête aux fins de reprise en charge, fondée sur l'art. 18 par. 1 let. b du règlement Dublin III.</w:t>
      </w:r>
    </w:p>
    <w:p>
      <w:r>
        <w:rPr>
          <w:b/>
        </w:rPr>
        <w:t>E. 5.3</w:t>
      </w:r>
    </w:p>
    <w:p>
      <w:r>
        <w:t>Le 15 novembre 2022, à l'issue d'une procédure de réexamen (« rémonstration »), lesdites autorités ont expressément accepté de reprendre en charge le recourant sur la base de l'art. 20 par. 5 du règlement Dublin III, reconnaissant ainsi leur compétence pour traiter la demande d'asile de l'intéressé.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 ; voir en ce sens arrêts du TAF F-3061/2021 du 9 juillet 2021 consid. 5.2 ;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6.4</w:t>
      </w:r>
    </w:p>
    <w:p>
      <w:r>
        <w:t>Le Tribunal considère que, nonobstant les prises de position critiques de plusieurs organisations non gouvernementales (ONG) et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 du Tribunal E-4622/2022 du 14 octobre 2022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 saurait être renversée dans le cas présent, en particulier au regard des allégations non étayées du recourant (cf. consid. 7).</w:t>
      </w:r>
    </w:p>
    <w:p>
      <w:r>
        <w:rPr>
          <w:b/>
        </w:rPr>
        <w:t>E. 6.5</w:t>
      </w:r>
    </w:p>
    <w:p>
      <w:r>
        <w:t>Par conséquent, l'application de l'art. 3 par. 2 du règlement Dublin III ne se justifie pas en l'espèce.</w:t>
      </w:r>
    </w:p>
    <w:p>
      <w:r>
        <w:rPr>
          <w:b/>
        </w:rPr>
        <w:t>E. 7.1</w:t>
      </w:r>
    </w:p>
    <w:p>
      <w:r>
        <w:t>Pour s'opposer à son transfert vers la Croatie, l'intéressé a indiqué ne pas avoir demandé l'asile en Croatie, mais avoir été forcé à déposer ses empreintes digitales. Il a également dit avoir été maltraité et violenté par les autorités croates. Il a expliqué que la police l'avait laissé attendre dehors sous la pluie pendant des heures avec les phares d'un véhicule des forces de l'ordre braqués sur lui. Bien que trempé, aucun vêtement de rechange ne lui aurait été proposé. Terrifié et frigorifié, il aurait été déshabillé, puis transféré dans un container. Atteint dans sa santé physique et psychique suite aux mauvais traitements qu'il aurait subis en Croatie et ayant besoin de consulter un psychologue en urgence, il a expliqué qu'il lui était impossible de retourner dans ce pays. Il a également soutenu qu'il ne pourrait pas bénéficier des soins nécessaires au sein des structures médicales croates. Plus généralement, il a émis de sérieux doutes quant à l'accès, en Croatie, à une procédure d'asile équitable et respectueuse de ses droits fondamentaux. Finalement, il a invoqué, sans autre précision, les art. 3 CEDH, 14 CAT (recte CCT) et 16 du règlement Dublin III.</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 2012/4 consid. 2.4).</w:t>
      </w:r>
    </w:p>
    <w:p>
      <w:r>
        <w:rPr>
          <w:b/>
        </w:rPr>
        <w:t>E. 7.3</w:t>
      </w:r>
    </w:p>
    <w:p>
      <w:r>
        <w:t>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 ATAF 2017 VI/7 consid. 6.2).</w:t>
      </w:r>
    </w:p>
    <w:p>
      <w:r>
        <w:rPr>
          <w:b/>
        </w:rPr>
        <w:t>E. 7.4</w:t>
      </w:r>
    </w:p>
    <w:p>
      <w:r>
        <w:t>Le recourant n'a pas démontré que sa demande de protection déposée en Croatie ne serait pas traitée conformément aux dispositions légales applicables dans ce pays - notamment à celles de la CCT - et à la directive Procédure. Dans son cas, rien ne permet de considérer que les autorités croates refuseraient de mener à terme sa procédure d'asile. Les problèmes soulevés dans le recours concernant la situation générale en Croatie en lien avec la procédure d'asile (cf. supra, consid. 7.1) ne sauraient infléchir ce raisonnement. En outre, le recourant n'a fourni aucun élément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7.5</w:t>
      </w:r>
    </w:p>
    <w:p>
      <w:r>
        <w:t>L'intéressé, qui n'a séjourné que quelques jours en Croatie, n'a pas non plus apporté d'indices suffisants qu'il serait privé durablement, dans cet Etat,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CCT (cf. arrêt du Tribunal F-1125/2021 du 19 mars 2021 consid. 4.5). N'étant étayées par aucun élément concret, ni probant et s'avérant de surcroît succinctes, les déclarations du recourant en lien avec les agissements des autorités croates à son égard ne permettent pas d'amener à une appréciation différente.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(cf. arrêt du Tribunal F- 1543/2018 du 19 mars 2018 consid. 6.2).</w:t>
      </w:r>
    </w:p>
    <w:p>
      <w:r>
        <w:rPr>
          <w:b/>
        </w:rPr>
        <w:t>E. 7.6.1</w:t>
      </w:r>
    </w:p>
    <w:p>
      <w:r>
        <w:t>Compte tenu de la jurisprudence restrictive en la matière, il y a lieu de considérer que les problèmes de santé brièvement évoqués par le recourant (douleur à une jambe et souffrances psychologiques), mais nullement documentés, ne justifient pas de renoncer à son transfert vers la Croatie (cf., à ce sujet, arrêt de la CourEDH Paposhvili précité). En effet, rien n'indique qu'ils seraient d'une gravité ou d'une spécificité telle qu'ils ne pourraient pas être traités en Croatie (sur les possibilités de prise en charge médicale dans le domaine de l'asile en Croatie, cf. arrêts du Tribunal D-1418/2022 du 4 avril 2022 consid. 5.3.6 ;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7.6.2</w:t>
      </w:r>
    </w:p>
    <w:p>
      <w:r>
        <w:t>Dès lors, il y a lieu de retenir que l'état de santé du recourant ne fait pas obstacle à l'exécution de son transfert vers la Croatie.</w:t>
      </w:r>
    </w:p>
    <w:p>
      <w:r>
        <w:rPr>
          <w:b/>
        </w:rPr>
        <w:t>E. 7.6.3</w:t>
      </w:r>
    </w:p>
    <w:p>
      <w:r>
        <w:t>Cela étant, le cas échéant, il incombera aux autorités suisses chargées de l'exécution du transfert de transmettre à leurs homologues croates, en temps utile, les éventuels renseignements permettant une prise en charge médicale adéquate du recourant (art. 31 et 32 du règlement Dublin III), celui-ci ayant donné son accord écrit à la transmission d'informations médicales.</w:t>
      </w:r>
    </w:p>
    <w:p>
      <w:r>
        <w:rPr>
          <w:b/>
        </w:rPr>
        <w:t>E. 7.7</w:t>
      </w:r>
    </w:p>
    <w:p>
      <w:r>
        <w:t>Enfin, c'est en vain que le recourant invoque une violation des art. 14 CCT et 16 du règlement Dublin III, celui-ci ne développant d'ailleurs aucune argumentation sur ce point.</w:t>
      </w:r>
    </w:p>
    <w:p>
      <w:r>
        <w:rPr>
          <w:b/>
        </w:rPr>
        <w:t>E. 7.8</w:t>
      </w:r>
    </w:p>
    <w:p>
      <w:r>
        <w:t>Par conséquent, le transfert de l'intéressé vers la Croatie n'est pas contraire aux obligations découlant de dispositions conventionnelles auxquelles la Suisse est liée.</w:t>
      </w:r>
    </w:p>
    <w:p>
      <w:r>
        <w:rPr>
          <w:b/>
        </w:rPr>
        <w:t>E. 7.9</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7.10</w:t>
      </w:r>
    </w:p>
    <w:p>
      <w:r>
        <w:t>Il convient encore de rappeler que le fait que l'intéressé ne souhaitait pas déposer sa demande en Croatie ne change rien. Le règlement Dublin III ne confère en effet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 (art. 111a al. 1 LAsi).</w:t>
      </w:r>
    </w:p>
    <w:p>
      <w:r>
        <w:rPr>
          <w:b/>
        </w:rPr>
        <w:t>E. 10.1</w:t>
      </w:r>
    </w:p>
    <w:p>
      <w:r>
        <w:t>Dans la mesure où il est immédiatement statué sur le fond, les demandes tendant à l'octroi de l'effet suspensif et à la dispense du versement d'une avance de frais sont sans objet, les mesures superprovisionnelles ordonnées le 29 novembre 2022 étant désormais caduques. Les conclusions du recours étant d'emblée vouées à l'échec, la requête d'assistance judiciaire totale est rejetée (art. 65 al. 1 PA).</w:t>
      </w:r>
    </w:p>
    <w:p>
      <w:r>
        <w:rPr>
          <w:b/>
        </w:rPr>
        <w:t>E. 10.2</w:t>
      </w:r>
    </w:p>
    <w:p>
      <w:r>
        <w:t>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