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D-5472/2013 vom 3. Februar 2015</w:t>
      </w:r>
    </w:p>
    <w:p>
      <w:r>
        <w:t>Bundesverwaltungsgericht, 2015-02-03, DE</w:t>
      </w:r>
    </w:p>
    <w:p>
      <w:r>
        <w:rPr>
          <w:b/>
        </w:rPr>
        <w:t xml:space="preserve">Quelle: </w:t>
      </w:r>
      <w:r>
        <w:t>https://mcp.opencaselaw.ch/entscheid/bvger_D-5472_2013</w:t>
      </w:r>
    </w:p>
    <w:p>
      <w:r>
        <w:t>FR: TAF D-5472/2013 du 3 février 2015</w:t>
      </w:r>
    </w:p>
    <w:p>
      <w:r>
        <w:t>IT: TAF D-5472/2013 del 3 febbraio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1.4</w:t>
      </w:r>
    </w:p>
    <w:p>
      <w:r>
        <w:t>Auf die Eventualanträge auf Feststellung der Unzulässigkeit oder zumindest der Unzumutbarkeit des Wegweisungsvollzuges und auf Anordnung der vorläufigen Aufnahme ist nicht einzutreten, da mit der angefochtenen Verfügung kein Wegweisungsvollzug angeordnet, sondern das Gesuch um Familienvereinigung abgelehnt wurde und sich diese Anträge mithin nicht auf einen im Dispositiv der vorinstanzlichen Verfügung geregelten Verfahrensgegenstand beziehen.</w:t>
      </w:r>
    </w:p>
    <w:p>
      <w:r>
        <w:rPr>
          <w:b/>
        </w:rPr>
        <w:t>E. 1.5</w:t>
      </w:r>
    </w:p>
    <w:p>
      <w:r>
        <w:t>Die bei verschiedenen Behörden erhobenen Auskünfte betreffend die Beziehung des Beschwerdeführers zum gerichtlich anerkannten Sohn G._______, zum angeblich von ihm stammenden Sohn K._______ und zu F._______ (vgl. Bst. K) sind ihm im Rahmen des rechtlichen Gehörs nicht offenzulegen, da es sich dabei nicht um Beweismittel handelt, denen eine entscheidrelevante Bedeutung zukommt beziehungsweise die im konkreten Fall eine objektive Bedeutung für die entscheidwesentliche Sachverhaltsfeststellung haben (vgl. unten E. 6.4; BVGE 2011/37 E. 5.4.1).</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Ehegatten, eingetragene Partnerinnen oder Partner von Flüchtlingen und ihre minderjährigen Kinder werden als Flüchtlinge anerkannt und erhalten Asyl, wenn keine besonderen Umstände dagegen sprechen (Art. 51 Abs. 1 AsylG).</w:t>
      </w:r>
    </w:p>
    <w:p>
      <w:r>
        <w:rPr>
          <w:b/>
        </w:rPr>
        <w:t>E. 3.3</w:t>
      </w:r>
    </w:p>
    <w:p>
      <w:r>
        <w:t>Das Bundesverwaltungsgericht wendet im Beschwerdeverfahren das Bundesrecht von Amtes wegen an und ist gemäss Art. 62 Abs. 4 VwVG an die Begründung der Begehren nicht gebunden. Es kann die Beschwerde auch aus anderen als den geltend gemachten Gründen gutheissen oder den angefochtenen Entscheid im Ergebnis mit einer von der Vorinstanz abweichenden Begründung bestätigen (sog. Motivsubstitution, vgl. BVGE 2007/41 E. 2), wobei grundsätzlich die Sachlage zum Zeitpunkt seines Entscheides massgebend ist (vgl. BGE 135 II 369 E. 3.3 S. 374; BVGE 2011/1 E. 2 mit Hinweis).</w:t>
      </w:r>
    </w:p>
    <w:p>
      <w:r>
        <w:rPr>
          <w:b/>
        </w:rPr>
        <w:t>E. 4.1</w:t>
      </w:r>
    </w:p>
    <w:p>
      <w:r>
        <w:t>Das BFM hielt zur Begründung seines ablehnenden Entscheids im Wesentlichen fest, es werde nicht davon ausgegangen, dass der Beschwerdeführer mit F._______ sowie den Kindern in einer konstanten familiären Gemeinschaft lebe. Dies ergebe sich allein schon aus der Tatsache, dass eine richterliche Verfügung des Bezirksgerichts H._______ auf Klage der Beiständin nötig gewesen sei. Diese Verfügung stelle die Unterhaltspflichten des Beschwerdeführers gegenüber seinem Sohn sowie den Informationsfluss hinsichtlich der Erziehung sicher. Würde der Beschwerdeführer mit F._______ einvernehmlich in einem gemeinsamen Haushalt leben, wäre solch eine Verfügung nicht nötig. Im Weiteren gebe F._______ in der eidesstattlichen Erklärung vom (...) an, seit (...) Jahren in einer Beziehung mit dem Beschwerdeführer zu leben, gebe aber gleichzeitig als Wohnadresse für ihn die Asylfürsorge in I._______ an, wohingegen sie an der (Angabe der Adresse) lebe. Damit habe die am (...) unterzeichnete provisorische Abmeldung des Beschwerdeführers in jener Asylunterkunft keine Aussagekraft mehr, da die eidesstattliche Erklärung aktueller sei und belege, dass sie keine familiäre Gemeinschaft führten. Für weitere Einzelheiten wird auf die Akten verwiesen.</w:t>
      </w:r>
    </w:p>
    <w:p>
      <w:r>
        <w:rPr>
          <w:b/>
        </w:rPr>
        <w:t>E. 4.2</w:t>
      </w:r>
    </w:p>
    <w:p>
      <w:r>
        <w:t>Der Beschwerdeführer hielt diesen Erwägungen in seiner Rechtsmitteleingabe im Wesentlichen entgegen, er sei in Äthiopien aufgewachsen und eritreischer Staatsangehöriger. In Äthiopien sei er aufgrund von Diskriminierungen wegen seiner Herkunft nach Eritrea zurückgekehrt, dort jedoch wegen seines Glaubens verfolgt worden. Da er zusätzlich mit einer Zwangsrekrutierung habe rechnen müssen, sei er ausgereist. In der Schweiz lebe er seit mittlerweile (...) Jahren mit seiner Lebenspartnerin F._______ und dem gemeinsamen Kind in einer dauernden und eheähnlichen Gemeinschaft. Die gesamte Familie (Beschwerdeführer, seine Partnerin, das gemeinsame Kind sowie das Kind der Partnerin) wohne die meiste Zeit zusammen bei seiner Partnerin, wo sie sich gemeinsam um die Kinder sorgen und ein intaktes Familienleben pflegen würden. Da er über kein Aufenthaltsrecht in der Schweiz verfüge, sei es nicht möglich, sich an der (Angabe der Adresse) anzumelden. Faktisch würden sie im Rahmen ihrer Möglichkeiten eine eheähnliche Beziehung führen. Er und seine Partnerin hätten sich im Rahmen der Vereinbarung vom (...) in sämtlichen Belangen, die das gemeinsame Kind betreffen würden, geeinigt. Im Urteil des Bezirksgerichts H._______ vom (...) sei von dieser Vereinbarung Vormerk genommen und keine abweichende Regelung getroffen worden. Die Verfügung vom (...) sei lediglich durch eine formelle Korrektur des Urteils vom (...) ergänzt worden, welche sich darauf bezogen habe, dass die Regelung des Kindesunterhalts einer gerichtlichen Genehmigung bedürfe. Entgegen der Ansicht des BFM spreche die richterliche Verfügung nicht gegen das Bestehen einer familiären Gemeinschaft. Da er über keine Arbeitsbewilligung verfüge und deshalb nicht für das Kind finanziell aufkommen könne, bedürfe es von Gesetzes wegen einer richterlichen Verfügung. Der Inhalt der richterlichen Verfügung zeige gegenteilig, dass einzig derjenige Punkt durch das Gericht entschieden worden sei, welcher im Sinne der Offizialmaxime nicht durch die Parteien selbst habe vereinbart werden können. Im Übrigen hätten er und seine Partnerin entsprechend ihrer partnerschaftlichen Beziehung die Kinderbelange untereinander geregelt. Im Weiteren sei aufgrund seines fehlenden Aufenthaltsstatus nachvollziehbar, dass die Eltern kein gemeinsames Sorgerecht beantragt hätten. Es sei jedoch hervorzuheben, dass sich die Eltern über die Obhut des gemeinsamen Kindes absprechen und in der Regel er und seine Partnerin die meiste Zeit zusammen mit den Kindern verbringen würden. Seine fehlende Aufenthaltsberechtigung beeinträchtige das Familienleben stark. Die Erteilung einer solchen würde ermöglichen, dass die gesamte Familie zusammen wohnen könne, für die Kinder eine kontinuierliche Lebensrealität gewährleistet werde und er die Familie finanziell unterstützen könne. Für weitere Einzelheiten wird auf die Akten verwiesen.</w:t>
      </w:r>
    </w:p>
    <w:p>
      <w:r>
        <w:rPr>
          <w:b/>
        </w:rPr>
        <w:t>E. 5.1</w:t>
      </w:r>
    </w:p>
    <w:p>
      <w:r>
        <w:t>Der Beschwerdeführer machte geltend, seit (...) mit F._______ in einer festen Beziehung und mit dem gerichtlich anerkannten gemeinsamen Kind G._______ sowie mit dem Kind L._______, welche aus einer früheren Ehe von F._______ sei, in einer eheähnlichen Gemeinschaft zu leben. F._______ bestätigte mit eidesstattlicher Erklärung vom (...), mit dem Beschwerdeführer seit (...) Jahren in einer Beziehung zu leben und mit ihm einen gemeinsamen Sohn, G._______, zu haben. Den Ausführungen zufolge entstand diese Beziehung somit nach der Einreise des Beschwerdeführers in die Schweiz. F._______ wurde mit Verfügung des BFM vom (...) in der Schweiz unter Anerkennung als Flüchtling Asyl gewährt und sie verfügt mittlerweile über eine Niederlassungsbewilligung. Auch das Kind G._______ sowie das am (...) geborene Kind K._______ (bislang vom Beschwerdeführer nicht als Sohn anerkannt) wurden gestützt auf Art. 51 Abs. 3 AsylG mit Verfügung des BFM vom (...) beziehungsweise (...) als Flüchtlinge anerkannt.</w:t>
      </w:r>
    </w:p>
    <w:p>
      <w:r>
        <w:rPr>
          <w:b/>
        </w:rPr>
        <w:t>E. 5.2</w:t>
      </w:r>
    </w:p>
    <w:p>
      <w:r>
        <w:t>Massgebend für den Einbezug in die Flüchtlingseigenschaft von F._______ ist die Bestimmung von Art. 51 Abs. 1 AsylG. Dabei wird vorgesehen, dass ein solcher Einbezug erst nach der Feststellung erfolgen kann, dass der Einzubeziehende die Flüchtlingseigenschaft nicht selbständig - beziehungsweise originär - erfüllt (vgl. Art. 37 AsylV 1).</w:t>
      </w:r>
    </w:p>
    <w:p>
      <w:r>
        <w:rPr>
          <w:b/>
        </w:rPr>
        <w:t>E. 5.3</w:t>
      </w:r>
    </w:p>
    <w:p>
      <w:r>
        <w:t>Das BFM wies mit Verfügung vom 3. Februar 2010 das Asylgesuch des Beschwerdeführers ab und ordnete die Wegweisung aus der Schweiz bis am 31. März 2010 sowie den Wegweisungsvollzug an. Die dagegen erhobene Beschwerde wies das Bundesverwaltungsgericht mit Urteil D-1505/2010 vom 17. März 2010 ab und bestätigte den Entscheid des BFM. Damit steht fest, dass der Beschwerdeführer die Flüchtlingseigenschaft nicht originär erfüllt.</w:t>
      </w:r>
    </w:p>
    <w:p>
      <w:r>
        <w:rPr>
          <w:b/>
        </w:rPr>
        <w:t>E. 6.1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Gemäss Art. 1a Bst. e AsylV 1 sind die in dauernder eheähnlichen Gemeinschaft zusammenlebenden Personen den Ehegatten gleichgestellt.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 Ein automatischer Einbezug in die Flüchtlingseigenschaft des Gatten oder der Gattin und die anschliessende Gewährung von Asyl sind demnach nur in den Fällen möglich, in denen die Voraussetzungen nach Art. 51 Abs. 1 AsylG vorliegen und eine Familiengemeinschaft vor der Flucht bestanden hat. Jedoch ist insbesondere bei der nachträglichen Heirat eines anerkannten Flüchtlings mit einer Person aus seinem Heimatstaat kein automatischer Einbezug in die Flüchtlingseigenschaft mehr möglich. Damit wird insbesondere vermieden, dass etwa durch die wiederholte Heirat eines anerkannten Flüchtlings verschiedene weitere Personen einzig wegen des mit der Heirat verbundenen Einbezugs in die Flüchtlingseigenschaft automatisch ebenfalls zu Flüchtlingen werden, ohne dass bei ihnen die Voraussetzungen einer Reflexverfolgung tatsächlich gegeben sind. Bei Fällen, in denen Ehegatten und minderjährige Kinder eine Verfolgung durch den Heimatstaat befürchten, obschon die Familie erst nach der Flucht gegründet wurde, steht den Betroffenen die Möglichkeit offen, entweder selbst befürchtete Nachteile im Sinne von Art. 3 AsylG geltend zu machen oder sich um eine ordentliche fremdenpolizeiliche Aufenthaltsbewilligung zu bemühen. Gemäss Art. 8 EMRK besteht in diesen Fällen ohnehin Anspruch auf eine Anwesenheitsregelung des Ehegatten des Flüchtlings und ihrer minderjährigen Kinder (vgl. Botschaft zur Totalrevision des Asylgesetzes vom 4. Dezember 1995, BBl 1996 II 68 ff.). Halten sich die das Familienasyl beantragenden Familienangehörigen im Zeitpunkt der Gesuchseinreichung bereits in der Schweiz auf, fällt für sie das Erfordernis der Trennung durch Flucht weg. Jedoch bleibt es für eine Gewährung des Familienasyls erforderlich, dass der Ehegatte mit dem in der Schweiz anerkannten Flüchtling zum Zeitpunkt seiner Flucht in einem gemeinsamen Haushalt gelebt hat und eine Wiederherstellung dieser Gemeinschaft gleichzeitig unentbehrlich ist sowie in der Schweiz tatsächlich auch angestrebt wird (vgl. dazu Entscheidungen und Mitteilungen der Schweizerischen Asylrekurskommission [EMARK] 2006 Nr. 8 E. 3.2. S. 94, EMARK 2000 Nr. 11 E. 3a und 3b S. 88 f.; Urteil des Bundesverwaltungsgerichts D-7268/2006 vom 18. Juli 2008 E. 5.3). Das Rechtsinstitut des Familienasyls bezweckt somit die Bewahrung von vorbestandenen Familiengemeinschaften beziehungsweise deren Wiederherstellung, sofern die Gemeinschaft alleine aufgrund der Fluchtumstände und somit unfreiwillig getrennt wurde (vgl. EMARK 2006 Nr. 8 E. 3.2 S. 94 f., EMARK 2000 Nr. 11 E. 3b S. 89 Urteil des Bundesverwaltungsgerichts D-6842/2011 vom 22. Mai 2012 E. 4.2). Das Familienasyl nach Art. 51 Abs. 1 dient weder der Aufnahme von neuen respektive von zuvor noch gar nicht gelebten familiären Beziehungen noch der Wiederaufnahme von zuvor abgebrochenen Beziehungen (vgl. Urteil des Bundesverwaltungsgerichts D-4419/2012 vom 20. September 2012 E. 5.4.2).</w:t>
      </w:r>
    </w:p>
    <w:p>
      <w:r>
        <w:rPr>
          <w:b/>
        </w:rPr>
        <w:t>E. 6.2</w:t>
      </w:r>
    </w:p>
    <w:p>
      <w:r>
        <w:t>Vorliegend ist in Anwendung der oben in E. 6.1 dargelegten Regelung festzustellen, dass der Beschwerdeführer zum Zeitpunkt seiner geltend gemachten Flucht mit F._______ nicht in einem gemeinsamen Haushalt lebte, zumal er diese seinen Aussagen zufolge erst in der Schweiz kennenlernte. Auch der von ihm gerichtlich anerkannte Sohn wurde erst (...) nach der ablehnenden Verfügung des BFM vom 3. Februar 2010 geboren (...). Daher bestand vorliegend - gemäss dem dem Familienasyl zugrunde liegenden Kerngedanken - zum Zeitpunkt der Flucht keine Familiengemeinschaft, weshalb es an den Voraussetzungen zum Einbezug des Beschwerdeführers in die Flüchtlingseigenschaft von F._______ mangelt.</w:t>
      </w:r>
    </w:p>
    <w:p>
      <w:r>
        <w:rPr>
          <w:b/>
        </w:rPr>
        <w:t>E. 6.3</w:t>
      </w:r>
    </w:p>
    <w:p>
      <w:r>
        <w:t>Sind die Voraussetzungen des Familienasyls im Sinne von Art. 51 Abs. 1 AsylG nicht erfüllt, können weder die Bestimmungen von Art. 8 EMRK noch jene von Art. 17 und 23 des Internationalen Pakts vom 16. Dezember 1966 über bürgerliche und politische Rechte (SR 0.103.2) im Asylverfahren ergänzend angewandt werden; die Frage nach einem allfälligen Anspruch auf Familiennachzug ist gestützt auf die vorerwähnten Bestimmungen von der zuständigen kantonalen Ausländerbehörde zu prüfen (vgl. EMARK 2002 Nr. 6 E. 5a und b S. 44 f.). Unter diesen Umständen erübrigt es sich, auf die weiteren Vorbringen und auf die als Beweismittel eingereichten Dokumente im Einzelnen einzugehen, da sie nicht zu einer anderen Beurteilung zu führen vermögen.</w:t>
      </w:r>
    </w:p>
    <w:p>
      <w:r>
        <w:rPr>
          <w:b/>
        </w:rPr>
        <w:t>E. 6.4</w:t>
      </w:r>
    </w:p>
    <w:p>
      <w:r>
        <w:t>Bezüglich der Ausführungen in der Beschwerdeschrift zur angeblichen eritreischen Staatsangehörigkeit des Beschwerdeführers wird auf das Urteil des Bundesverwaltungsgerichts D-1505/2010 vom 17. März 2010 sowie auf die Verfügung des BFM vom 3. Februar 2010 verwiesen, in welchen die Frage der Staatsangehörigkeit des Beschwerdeführers bereits eingehend behandelt wurde und von einer äthiopischen Staatsangehörigkeit ausgegangen wird. Bezeichnenderweise wurden denn auch bis heute keine Beweismittel, welche einen anderen Schluss als den in genanntem Urteil und genannter Verfügung gezogenen führen könnte, ins Recht gelegt. Da die Bestimmungen des Familienasyls gemäss Art. 51 Abs. 1 AsylG vorliegend nicht zur Anwendung kommen, erübrigen sich in casu weitere Ausführungen in Bezug auf den besonderen Umstand, wonach es sich bei der geltend gemachten Partnerschaft zwischen dem Beschwerdeführer und F._______ um eine gemischtnationale handeln dürfte. Die Frage, ob eine Familienvereinigung bei gemischtnationalen Partnerschaften im Ausland möglich und zumutbar ist, beziehungsweise ob sich die Familie gemeinsam in das Heimatland des nicht gefährdeten Lebenspartners (i.c. Äthiopien) begeben kann, kann daher aufgrund obiger Ausführungen offen bleiben. Ebenso offen bleiben kann vorliegend auch die Frage, ob beim Beschwerdeführer und F._______ eine nach Art. 1a Bst. e AsylV1 eheähnliche Gemeinschaft besteht.</w:t>
      </w:r>
    </w:p>
    <w:p>
      <w:r>
        <w:rPr>
          <w:b/>
        </w:rPr>
        <w:t>E. 6.5</w:t>
      </w:r>
    </w:p>
    <w:p>
      <w:r>
        <w:t>Die Vorinstanz hat deshalb im Ergebnis zu Recht, wenn auch mit einer anderen Begründung, das Gesuch des Beschwerdeführers um Familienvereinigung abgelehnt.</w:t>
      </w:r>
    </w:p>
    <w:p>
      <w:r>
        <w:rPr>
          <w:b/>
        </w:rPr>
        <w:t>E. 7</w:t>
      </w:r>
    </w:p>
    <w:p>
      <w:r>
        <w:t>Aus diesen Erwägungen ergibt sich, dass die angefochtene Verfügung Bundesrecht nicht verletzt sowie den rechtserheblichen Sachverhalt richtig und vollständig feststellt (Art. 106 Abs. 1 AsylG). Die Beschwerde ist demnach abzuweisen, soweit darauf einzutreten ist.</w:t>
      </w:r>
    </w:p>
    <w:p>
      <w:r>
        <w:rPr>
          <w:b/>
        </w:rPr>
        <w:t>E. 8.1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weshalb keine Verfahrenskosten aufzuerlegen sind.</w:t>
      </w:r>
    </w:p>
    <w:p>
      <w:r>
        <w:rPr>
          <w:b/>
        </w:rPr>
        <w:t>E. 8.2</w:t>
      </w:r>
    </w:p>
    <w:p>
      <w:r>
        <w:t>Art. 110a AsylG ist nicht auf die im Zeitpunkt des Inkrafttretens der Änderung vom 14. Dezember 2012, d.h. am 1. Februar 2014, hängigen Beschwerdeverfahren anwendbar (Abs. 4 der Übergangsbestimmung zur Änderung vom 14. Dezember 2012), weshalb die Voraussetzungen von Art. 65 Abs. 2 VwVG zu prüfen sind. 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Mit dem Entscheid in der Sache ist das Gesuch um Erlass des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