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D-5472/2006 vom 26. März 2009</w:t>
      </w:r>
    </w:p>
    <w:p>
      <w:r>
        <w:t>Bundesverwaltungsgericht, 2009-03-26, DE</w:t>
      </w:r>
    </w:p>
    <w:p>
      <w:r>
        <w:rPr>
          <w:b/>
        </w:rPr>
        <w:t xml:space="preserve">Quelle: </w:t>
      </w:r>
      <w:r>
        <w:t>https://mcp.opencaselaw.ch/entscheid/bvger_D-5472_2006</w:t>
      </w:r>
    </w:p>
    <w:p>
      <w:r>
        <w:t>FR: TAF D-5472/2006 du 26 mars 2009</w:t>
      </w:r>
    </w:p>
    <w:p>
      <w:r>
        <w:t>IT: TAF D-5472/2006 del 26 marzo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am 31. Dezember 2006 hängigen Rechtsmittel übernommen. Das neue Verfahrensrecht ist anwendbar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sowie Art. 50 und 52 VwVG). Auf die Beschwerde ist einzutreten.</w:t>
      </w:r>
    </w:p>
    <w:p>
      <w:r>
        <w:rPr>
          <w:b/>
        </w:rPr>
        <w:t>E. 3</w:t>
      </w:r>
    </w:p>
    <w:p>
      <w:r>
        <w:t>Die Verneinung der Flüchtlingseigenschaft, die Ablehnung des Asylgesuchs sowie die Wegweisung blieben vorliegend unangefochten und sind mit Ablauf der Beschwerdefrist in Rechtskraft erwachsen. Gegenstand des vorliegenden Beschwerdeverfahrens bildet somit einzig die Frage des Vollzugs der Wegweisung (Art. 44 AsylG).</w:t>
      </w:r>
    </w:p>
    <w:p>
      <w:r>
        <w:rPr>
          <w:b/>
        </w:rPr>
        <w:t>E. 4.1</w:t>
      </w:r>
    </w:p>
    <w:p>
      <w:r>
        <w:t>Ist der Vollzug der Wegweisung nicht möglich, nicht zulässig oder nicht zumutbar, so regelt das Bundesamt gemäss Art. 44 Abs. 2 AsylG das Anwesenheitsverhältnis nach den gesetzlichen Bestimmungen über die vorläufige Aufnahme nach dem AuG, welches seit dem 1. Januar 2008 in Kraft ist. Vor dem 1. Januar 2008 wurden die Voraussetzungen für die vorläufige Aufnahme im Bundesgesetz vom 26. März 1931 über Aufenthalt und Niederlassung der Ausländer (aANAG, BS 1 121) geregelt, welches zeitgleich mit dem Inkrafttreten des AuG aufgehoben wurde (vgl. Art. 125 AuG i.V.m. Ziff. I Anhang zum AuG). Inhaltlich hat sich an den Voraussetzungen für die Anordnung der vorläufigen Aufnahme durch die Gesetzesänderung nichts geändert. Die genannten drei Bedingungen für einen Verzicht auf den Wegweisungsvollzug (Unzulässigkeit, Unzumutbarkeit, Unmöglichkeit) sind alternativer Natur. Sobald eine von ihnen erfüllt ist, ist der Vollzug als undurchführbar zu betrachten und die weitere Anwesenheit der betroffenen Person in der Schweiz gemäss den Bestimmungen über die vorläufige Aufnahme zu regeln (vgl. Entscheidungen und Mitteilungen der ARK [EMARK] 2006 Nr. 6).</w:t>
      </w:r>
    </w:p>
    <w:p>
      <w:r>
        <w:rPr>
          <w:b/>
        </w:rPr>
        <w:t>E. 4.2</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4.2.1</w:t>
      </w:r>
    </w:p>
    <w:p>
      <w:r>
        <w:t>In ihrer vorliegend zu berücksichtigenden Rechtsprechung hatte sich die ARK in EMARK 2003 Nr. 10 eingehend zur Lage in Kabul geäussert und die Unterschiede zwischen der Stadt Kabul und anderen Regionen Afghanistans dargestellt. Infolge der vergleichsweise günstigeren Situation hatte sie den Wegweisungsvollzug nach Kabul unter bestimmten strengen Voraussetzungen, insbesondere einem tragfähigen Beziehungsnetz, der Möglichkeit der Sicherung des Existenzminimums und einer gesicherten Wohnsituation, als zumutbar erachtet. In EMARK 2006 Nr. 9 bestätigte die ARK ihre Rechtsprechung aus dem Jahr 2003. Zusätzlich zu Kabul erachtete sie den Wegweisungsvollzug in weitere, abschliessend aufgeführte Provinzen (Parwan, Baghlan, Takhar, Badakhshan, Kunduz, Balkh, Sari Pul, Herat und die Gegend von Samangan, die nicht zum Hazarajat zu zählen ist) unter den in EMARK 2003 Nr. 10 erwogenen strengen Bedingungen als zumutbar. In den übrigen östlichen, südlichen und südöstlichen Provinzen bestehe hingegen weiterhin eine allgemeine Gewaltsituation, weshalb der Wegweisungsvollzug dorthin nach wie vor als unzumutbar zu betrachten sei (vgl. EMARK 2006 Nr. 9 E. 7.5.3 und 7.8).</w:t>
      </w:r>
    </w:p>
    <w:p>
      <w:r>
        <w:rPr>
          <w:b/>
        </w:rPr>
        <w:t>E. 4.2.2</w:t>
      </w:r>
    </w:p>
    <w:p>
      <w:r>
        <w:t>Von der Vorinstanz wurde nicht in Zweifel gezogen, dass der Beschwerdeführer der Ethnie der Hazara angehört und sein Herkunftsort in der Provinz (...) liegt. Dieser Einschätzung schliesst sich auch das Bundesverwaltungsgericht - wenn auch nicht mit letzter Gewissheit - an. Im Weiteren kann die Lageanalyse und Praxis der ARK in EMARK 2003 Nr. 10 und 2006 Nr. 9 in casu auch heute noch herangezogen werden. Der Herkunftsort des Beschwerdeführers befindet sich nach dem Gesagten nicht in einer der in EMARK 2006 Nr. 9 abschliessend aufgeführten Provinzen, in welche - neben Kabul - der Wegweisungsvollzug unter strengen Bedingungen als zumutbar erachtet wird. Der Wegweisungsvollzug des Beschwerdeführers in sein Herkunftsgebiet muss demnach als unzumutbar qualifiziert werden.</w:t>
      </w:r>
    </w:p>
    <w:p>
      <w:r>
        <w:rPr>
          <w:b/>
        </w:rPr>
        <w:t>E. 4.2.3</w:t>
      </w:r>
    </w:p>
    <w:p>
      <w:r>
        <w:t>Es stellt sich die Frage, ob dem Beschwerdeführer allenfalls eine Aufenthaltsalternative in einem anderen Landesteil Afghanistans zur Verfügung steht. Die Bejahung einer zumutbaren innerstaatlichen Aufenthaltsalternative in Kabul, wo die allgemeine Situation als relativ stabil zu bezeichnen ist (vgl. EMARK 2003 Nr. 10 S. 67), oder in einer anderen Provinz, in der die allgemeine Situation eine Rückkehr unter bestimmten Umständen als zumutbar erscheinen liesse (vgl. EMARK 2006 Nr. 9), setzt insbesondere die dortige Existenz eines tragfähigen Beziehungsnetzes sowie eine gesicherte Wohnsituation voraus. Aufgrund der Aktenlage ist nicht davon auszugehen, dass der Beschwerdeführer in Kabul oder in einer der in EMARK 2006 Nr. 9 abschliessend aufgelisteten Provinzen über eine gesicherte Wohnsituation und ein tragfähiges Beziehungsnetz verfügt. Es sind keinerlei Bezugspunkte des Beschwerdeführers zum Grossraum Kabul oder einer der genannten Provinzen ersichtlich. Aufgrund der Aktenlage kann nicht ernsthaft davon ausgegangen werden, dass mutmasslich irgendwo im Land lebende weitere Verwandte dem Beschwerdeführer eine gesicherte Existenzgrundlage bieten könnten. Mithin fehlen die entscheidenden Zumutbarkeitsfaktoren für die Annahme, der Beschwerdeführer könne sich im Grossraum Kabul oder in einer der anderen genannten Provinzen eine Existenzgrundlage aufbauen.</w:t>
      </w:r>
    </w:p>
    <w:p>
      <w:r>
        <w:rPr>
          <w:b/>
        </w:rPr>
        <w:t>E. 4.2.4</w:t>
      </w:r>
    </w:p>
    <w:p>
      <w:r>
        <w:t>Angesichts der gesamten Umstände ist der Vollzug der Wegweisung als unzumutbar zu bezeichnen. Die Voraussetzungen für die Gewährung der vorläufigen Aufnahme sind damit erfüllt.</w:t>
      </w:r>
    </w:p>
    <w:p>
      <w:r>
        <w:rPr>
          <w:b/>
        </w:rPr>
        <w:t>E. 5</w:t>
      </w:r>
    </w:p>
    <w:p>
      <w:r>
        <w:t>Die Beschwerde ist demnach gutzuheissen. Die Ziffern 4 und 5 des Dispositivs der Verfügung des BFM vom 26. Juni 2006 sind aufzuheben und das Bundesamt ist anzuweisen, den Beschwerdeführer vorläufig aufzunehmen (Art. 44 Abs. 2 AsylG i.V.m. Art. 83 AuG). Einer vorläufigen Aufnahme stehen keine einschränkenden gesetzlichen Tatbestände entgegen (Art. 83 Abs. 7 AuG), zumal bis zum Urteilszeitpunkt aktenkundig keine strafrechtlichen Sanktionen gegen den Beschwerdeführer ergriffen wurden (vgl. dazu vorstehend Sachverhalt Bst. G)</w:t>
      </w:r>
    </w:p>
    <w:p>
      <w:r>
        <w:rPr>
          <w:b/>
        </w:rPr>
        <w:t>E. 6.1</w:t>
      </w:r>
    </w:p>
    <w:p>
      <w:r>
        <w:t>Bei diesem Ausgang des Verfahrens sind keine Verfahrenskosten zu erheben (Art. 63 Abs. 1 und 2 VwVG). Das Gesuch um Gewährung der unentgeltlichen Rechtspflege wird somit gegenstandslos.</w:t>
      </w:r>
    </w:p>
    <w:p>
      <w:r>
        <w:rPr>
          <w:b/>
        </w:rPr>
        <w:t>E. 6.2</w:t>
      </w:r>
    </w:p>
    <w:p>
      <w:r>
        <w:t>Obsiegende Parteien haben Anspruch auf eine Parteientschädigung für die ihnen erwachsenen notwendigen Kosten (Art. 7 Abs. 1 des Reglements vom 21. Februar 2008 über die Kosten und Entschädigungen vor dem Bundesverwaltungsgericht [VGKE, SR 173.320.2]). Im vorliegenden Fall ist der Beschwerdeführer mit seinem Hauptbegehren durchgedrungen. Laut Art. 9 VGKE umfassen die Kosten der Vertretung das Anwaltshonorar oder die Entschädigung für eine nichtanwaltliche berufsmässige Vertretung (Bst. a), den Ersatz von Auslagen (Bst. b) und den Ersatz der Mehrwertsteuer für die Entschädigungen nach den Buchstaben a und b, soweit eine Steuerpflicht besteht und die Mehrwertsteuer nicht bereits berücksichtigt wurde (Bst. c). Das Anwaltshonorar und die Entschädigung für eine nichtanwaltliche berufsmässige Vertretung werden nach dem notwendigen Zeitaufwand des Vertreters oder der Vertreterin bemessen (Art. 10 VGKE). Der Beschwerdeführer hat keine Kostennote zu den Akten reichen lassen. Auf die Nachreichung einer solchen kann jedoch verzichtet werden, nachdem sich der notwendige Vertretungsaufwand zuverlässig abschätzen lässt. Die Parteientschädigung wird von Amtes wegen und in Berücksichtigung der massgeblichen Bemessungsfaktoren (vgl. Art. 8 ff. VGKE) auf Fr. 300.-- (inkl. Auslagen und MWSt) festgesetzt und ist dem Beschwerdeführer von der Vorinstanz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