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D-5469/2014 vom 5. Februar 2016</w:t>
      </w:r>
    </w:p>
    <w:p>
      <w:r>
        <w:t>Bundesverwaltungsgericht, 2016-02-05, DE</w:t>
      </w:r>
    </w:p>
    <w:p>
      <w:r>
        <w:rPr>
          <w:b/>
        </w:rPr>
        <w:t xml:space="preserve">Quelle: </w:t>
      </w:r>
      <w:r>
        <w:t>https://mcp.opencaselaw.ch/entscheid/bvger_D-5469_2014</w:t>
      </w:r>
    </w:p>
    <w:p>
      <w:r>
        <w:t>FR: TAF D-5469/2014 du 5 février 2016</w:t>
      </w:r>
    </w:p>
    <w:p>
      <w:r>
        <w:t>IT: TAF D-5469/2014 del 5 febbraio 2016</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6 AsylG i.V.m. Art. 48 Abs. 1 und 50 ff.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geltendem Recht prüft das Bundesverwaltungsgericht Verfügungen des SEM im Anwendungsbereich des AsylG nicht auf ihre Angemessenheit (Art. 106 Abs. 1 AsylG). Gemäss BVGE 2014/22 handelt es sich beim Entscheid betreffend die Übernahme der Einreisekosten um einen Ermessenentscheid (vgl. BVGE 2014/22 E. 5.4 bis 5.8). Die Kognition des Gerichts beschränkt sich diesbezüglich daher auf qualifizierte Fehler (d.h. Missbrauch und Überschreiten des Ermessens).</w:t>
      </w:r>
    </w:p>
    <w:p>
      <w:r>
        <w:rPr>
          <w:b/>
        </w:rPr>
        <w:t>E. 3.2</w:t>
      </w:r>
    </w:p>
    <w:p>
      <w:r>
        <w:t>Ein solcher qualifizierter Fehler liegt in casu nicht vor. Das SEM setzte sich in seiner Verfügung mit dem vorliegenden Einzelfall auseinander und begründete seinen Entscheid eingehend. Dabei verwies es unter anderem auf die Möglichkeit der Reise der Beschwerdeführerin nach Y._______ sowie auf die Verwandten, welche sich an einer allfälligen Finanzierung beteiligen könnten. Das SEM ging denn in seiner Vernehmlassung nach entsprechender Aufforderung durch das Bundesverwaltungsgericht noch vertieft auf den Sachverhalt ein und zeigte auf, von welchen Kriterien es sich in seiner Entscheidfindung leiten liess. Einer weiteren Prüfung hat sich das Gericht im Sinne von Art. 106 Abs. 1 AsylG zu enthalten. Darüber hinaus sind die beiden Kindern Ende 2014 in die Schweiz eingereist. Die Beschwerdeführerin hat es seither unterlassen, auszuweisen, wie die Reise nun finanziert wurde, obschon dies im Hinblick auf ihre Mitwirkungspflicht erwartet werden konnte. Vor diesem Hintergrund, dass die Beschwerdeführerin offenbar in der Lage gewesen ist, die Reisekosten aufzubringen, und in Ermangelung von Hinweisen auf eine Ausnahmekonstellation, ist kein Ermessensmissbrauch oder eine Ermessensüberschreitung der Vor­instanz ersichtlich und somit die Verfügung nicht als rechtsfehlerhaft zu bezeichnen. Die Beschwerde ist daher abzuweisen</w:t>
      </w:r>
    </w:p>
    <w:p>
      <w:r>
        <w:rPr>
          <w:b/>
        </w:rPr>
        <w:t>E. 4</w:t>
      </w:r>
    </w:p>
    <w:p>
      <w:r>
        <w:t>Bei diesem Ausgang des Verfahrens wären die Kosten der Beschwerdeführerin aufzuerlegen (Art. 63 Abs. 1 VwVG). Da ihr jedoch mit Zwischen-verfügung vom 1. Oktober 2014 die unentgeltliche Rechtspflege gemäss Art. 65 Abs. 1 VwVG gewährt worden ist und auch nicht von einer Veränderung ihrer finanziellen Verhältnisse auszugehen ist, sind ihr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