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D-5463/2021 vom 11. November 2021</w:t>
      </w:r>
    </w:p>
    <w:p>
      <w:r>
        <w:t>Bundesverwaltungsgericht, 2021-11-11, FR</w:t>
      </w:r>
    </w:p>
    <w:p>
      <w:r>
        <w:rPr>
          <w:b/>
        </w:rPr>
        <w:t xml:space="preserve">Quelle: </w:t>
      </w:r>
      <w:r>
        <w:t>https://mcp.opencaselaw.ch/entscheid/bvger_D-5463_2021_d20211111</w:t>
      </w:r>
    </w:p>
    <w:p>
      <w:r>
        <w:t>FR: TAF D-5463/2021 du 11 novembre 2021</w:t>
      </w:r>
    </w:p>
    <w:p>
      <w:r>
        <w:t>IT: TAF D-5463/2021 del 11 novembre 2021</w:t>
      </w:r>
    </w:p>
    <w:p>
      <w:pPr>
        <w:pStyle w:val="Heading2"/>
      </w:pPr>
      <w:r>
        <w:t>Regeste</w:t>
      </w:r>
    </w:p>
    <w:p>
      <w:r>
        <w:t>Asile et renvoi | Asile et renvoi; décision du SEM du 11 novembre 2021</w:t>
      </w:r>
    </w:p>
    <w:p>
      <w:pPr>
        <w:pStyle w:val="Heading2"/>
      </w:pPr>
      <w:r>
        <w:t>Erwägungen</w:t>
      </w:r>
    </w:p>
    <w:p>
      <w:r>
        <w:rPr>
          <w:b/>
        </w:rPr>
        <w:t>E. 5</w:t>
      </w:r>
    </w:p>
    <w:p>
      <w:r>
        <w:t>janvier 2022), que, de plus, en dépit de la profonde crise économique à laquelle la région autonome kurde d’Irak est confrontée depuis le référendum du 25 septembre 2017 sur l’indépendance du Kurdistan irakien, les violences y demeurent relativement limitées (cf. arrêt du Tribunal E-2339/2018 du 14 décembre 2021 consid. 6.4 et jurisp. cit.), qu’en l’espèce, le recourant est d’ethnie kurde et originaire de la province d’Erbil, où il a vécu jusqu’à son départ, qu’en outre, il est jeune et au bénéfice d’une formation universitaire, ainsi que de diverses expériences professionnelles, qu’il n’a pas allégué, ni a fortiori établi, souffrir de problèmes de santé particuliers qui impliqueraient un risque majeur en cas de retour ; qu’il a au contraire déclaré qu’il allait bien, si ce n’est qu’il avait de l’eczéma (cf. procès-verbal de l’audition du 4 novembre 2021, Q. 6 et 135), qu’à cela s’ajoute qu’il dispose d’un réseau familial et social dans sa région d’origine, composé en particulier de (…), ainsi que d’au moins (…) (cf. notamment procès-verbaux des auditions du 12 mai 2021, pt 3.02, et du 7 septembre 2021, Q. 9 ss et Q. 85 s.), avec lesquels il est resté en contact (cf. procès-verbal de l’audition du 7 septembre 2021, Q. 16) et sur qui il pourra, au besoin, compter à son retour, soit autant de facteurs qui</w:t>
      </w:r>
    </w:p>
    <w:p>
      <w:r>
        <w:t>D-5463/2021 Page 11 devraient lui permettre de se réinstaller dans sa région d’origine sans difficultés insurmontables,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qui est en possession d’une carte d’identité (déposée au dossier), étant tenu de collaborer à l'obtention de documents de voyage lui permettant de retourner dans son pays d'origine (art. 8 al. 4 LAsi),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D-5463/2021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