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D-5463/2018 vom 15. November 2018</w:t>
      </w:r>
    </w:p>
    <w:p>
      <w:r>
        <w:t>Bundesverwaltungsgericht, 2018-11-15, DE</w:t>
      </w:r>
    </w:p>
    <w:p>
      <w:r>
        <w:rPr>
          <w:b/>
        </w:rPr>
        <w:t xml:space="preserve">Quelle: </w:t>
      </w:r>
      <w:r>
        <w:t>https://mcp.opencaselaw.ch/entscheid/bvger_D-5463_2018</w:t>
      </w:r>
    </w:p>
    <w:p>
      <w:r>
        <w:t>FR: TAF D-5463/2018 du 15 novembre 2018</w:t>
      </w:r>
    </w:p>
    <w:p>
      <w:r>
        <w:t>IT: TAF D-5463/2018 del 15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 - einzutreten.</w:t>
      </w:r>
    </w:p>
    <w:p>
      <w:r>
        <w:rPr>
          <w:b/>
        </w:rPr>
        <w:t>E. 1.4</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w:t>
      </w:r>
    </w:p>
    <w:p>
      <w:r>
        <w:t>Der Beschwerdeführer erhebt auf Beschwerdeebene diverse formelle Rügen. Diese sind vorab zu prüfen, da sie allenfalls geeignet wären, eine Kassation der vorinstanzlichen Verfügung zu bewirken (vgl. Kölz/Häner/Bertschi, Verwaltungsverfahren und Verwaltungsrechtspflege des Bundes, 3. Aufl. 2013, Rz. 1043 ff. m.w.H.).</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(Krauskopf/Emmenegger/Babey, in: Praxiskommentar zum Bundesgesetz über das Verwaltungsverfahren, Waldmann/Weissberger (Hrsg.) 2015, Art. 12 VwVG N 15 ff., Kölz/ Häner/Bertschi, a.a.O., Rz. 1043 ff.). Ihre Grenze findet die Untersuchungspflicht allerdings in der Mitwirkungspflicht des Asylsuchenden (vgl. Art. 8 AsylG).</w:t>
      </w:r>
    </w:p>
    <w:p>
      <w:r>
        <w:rPr>
          <w:b/>
        </w:rPr>
        <w:t>E. 6.1</w:t>
      </w:r>
    </w:p>
    <w:p>
      <w:r>
        <w:t>Im Gegensatz zum normalen Verwaltungsverfahren - welches keinen Anspruch auf mündliche Äusserung kennt - hat die asylsuchende Person im Asylverfahren im Sinne von Art. 29 Abs. 1 AsylG grundsätzlich das Recht, wenigstens einmal mündlich ihre Asylgründe vorzubringen und umfassend darzulegen. Damit trägt das Asylgesetz dem Umstand Rechnung, dass den Angaben der asylsuchenden Person bei der Ermittlung des rechtserheblichen Sachverhalts entscheidende Bedeutung zukommt. Die Anhörung zu den Asylgründen ist das Kernstück des Asylverfahrens. In der Tat kann der Sachverhalt in der Mehrheit aller Fälle durch kein anderes Beweismittel bewiesen respektive glaubhaft gemacht werden und die rechtliche Würdigung durch die Behörden beruht einzig auf den Aussagen der Gesuchstellenden. Bereits aus diesem Grund muss die Anhörung zu den Asylgründen strikten Qualitätskriterien gerecht werden (in diesem Sinne auch BVGE 2007/30 E. 5.5).</w:t>
      </w:r>
    </w:p>
    <w:p>
      <w:r>
        <w:rPr>
          <w:b/>
        </w:rPr>
        <w:t>E. 6.2</w:t>
      </w:r>
    </w:p>
    <w:p>
      <w:r>
        <w:t>Die befragende Person muss sich während der Anhörung neutral verhalten und sich gegenüber allen anwesenden Personen, insbesondere den Asylsuchenden, geduldig und respektvoll zeigen. Insbesondere soll die befragende Person jeden Anflug von Belehrung oder Werturteil vermeiden, selbst wenn die asylsuchende Person ein nachweislich unangemessenes Verhalten an den Tag legt, ihre Mitwirkungspflicht verletzt oder eine offensichtlich unglaubhafte Darstellung der Ereignisse liefert. Die befragende Person verfolgt das Ziel, alle wesentlichen Sachverhalte zusammenzustellen, um über das Asylgesuch entscheiden zu können. Damit dies erreicht werden kann, ist von Anfang an ein Vertrauensklima zu schaffen, das sicherstellt, dass sich die asylsuchende Person frei äussern kann und sich verstanden oder zumindest angehört fühlt. Dazu muss auch eine angemessene Anhörungsstrategie beziehungsweise Befragungstechnik gewählt werden. Die Befragungstechnik hat unmittelbar Einfluss auf Qualität sowie Quantität der Vorbringen der asylsuchenden Person und umfasst sowohl die Fragestellung als auch das Verhalten der befragenden Person. Dabei muss die befragende Person insbesondere auch auf ihre verbalen und nicht verbalen Äusserungen achten und sich bewusst sein, wie nicht verbale Signale interpretiert werden können (vgl. SEM, Handbuch Asyl und Rückkehr, Artikel C7, Die Anhörung zu den Asylgründen, Stand 1. Mai 2015 &lt; https://www.sem.admin.ch/dam/data/sem/asyl/verfahren/hb/c/hb-c7-d.pdf&gt;, SEM, Qualitätskriterien, Anhörung zu den Asylgründen, Oktober 2009, &lt; https://www.sem.admin.ch/dam/data/sem/ asyl/verfahren/weiteres/qualikriterien-anhoerung-d.pdf &gt;, beides zuletzt abgerufen am 02.10.2018).</w:t>
      </w:r>
    </w:p>
    <w:p>
      <w:r>
        <w:rPr>
          <w:b/>
        </w:rPr>
        <w:t>E. 6.3</w:t>
      </w:r>
    </w:p>
    <w:p>
      <w:r>
        <w:t>Der Beschwerdeführer wurde am 18. Juli 2018 eingehend zu seinen Asylgründen angehört.</w:t>
      </w:r>
    </w:p>
    <w:p>
      <w:r>
        <w:rPr>
          <w:b/>
        </w:rPr>
        <w:t>E. 6.3.1</w:t>
      </w:r>
    </w:p>
    <w:p>
      <w:r>
        <w:t>Nach Durchsicht des entsprechenden Anhörungsprotokolls ergibt sich Folgendes: Der Befrager nimmt mehrmals bezüglich verschiedener Aussagen des Beschwerdeführers trotz - wie vorangehend ausgeführt - anders lautenden Leitlinien eine Würdigung vor. Dies sowohl in implizierter Weise, wobei beispielshaft auf die Passagen zum Beginn der Anhörung bezüglich der späten Einreichung der Identitätskarte (vgl. act. SEM A11/22 F5 f.) verwiesen werden kann. Er würdigte indessen auch in expliziter Weise, wobei auf die Anhörungssequenz bezüglich der Einstufung der Liberation Tigers of Tamil Eelam (LTTE) als Terrororganisation verwiesen werden kann, worauf der Beschwerdeführer empört reagierte (vgl. A11/22 F114 ff.). Diese Vorgehensweise des Befragers ist zweifellos nicht optimal und kann dazu führen, gewisse Kommunikationshemmnisse aufzubauen. Indessen erscheint diese Problematik in der Befragungsweise vorliegend noch nicht derart schwerwiegend, als dass allfällige Kommunikationshemmnisse im Laufe der Anhörung nicht wieder hätten abgebaut werden können, sei es durch das wiederholte Nachfragen oder gar durch das Eingreifen der Hilfswerkvertretung, welche die Situation zu entschärfen vermochte. Sie versicherte dem Beschwerdeführer zudem nochmals, dass die Behörden respektive die an der Anhörung anwesenden Personen neutral seien (vgl. A11/22 F122). Die angewandte Fragetechnik ist daher zwar kritisch zu hinterfragen, jedoch kann bei gesamthafter Betrachtung des Protokolls nicht auf eine mangelnde Neutralität der befragenden Person geschlossen werden. Ein entsprechender Vorbehalt auf dem Unterschriftenblatt der Hilfswerkvertretung ist bezeichnenderweise denn auch nicht angebracht worden.</w:t>
      </w:r>
    </w:p>
    <w:p>
      <w:r>
        <w:rPr>
          <w:b/>
        </w:rPr>
        <w:t>E. 6.3.2</w:t>
      </w:r>
    </w:p>
    <w:p>
      <w:r>
        <w:t>Das Bundesverwaltungsgericht erachtet somit in einer Gesamtwürdigung den rechtserheblichen Sachverhalt als vollständig und richtig erstellt. Eine Verletzung des rechtlichen Gehörs ist in diesem Zusammenhang ebenfalls nicht festzustellen. Der entsprechende Antrag ist demnach abzuweisen.</w:t>
      </w:r>
    </w:p>
    <w:p>
      <w:r>
        <w:rPr>
          <w:b/>
        </w:rPr>
        <w:t>E. 7.1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7.2</w:t>
      </w:r>
    </w:p>
    <w:p>
      <w:r>
        <w:t>Der Beschwerdeführer macht in der Anhörung geltend, an mehreren exilpolitischen Aktivitäten in der Schweiz teilzunehmen respektive teilgenommen zu haben (vgl. A11/22 F145 ff.). Dieser Aspekt ist im Kontext von Sri Lanka als nicht unwesentlicher Faktor zu bezeichnen, stützen sich die im Referenzurteil des Bundesverwaltungsgerichts E-1866/2015 vom 15. Juli 2016 definierten Risikofaktoren auch auf diesen Umstand (vgl. E. 8.5.4). Exilpolitische Aktivitäten müssen in der Gesamtwürdigung des Risikoprofils berücksichtigt werden. In der angefochtenen Verfügung hätte dieses Sachverhaltselement deshalb zumindest kurz erwähnt und gewürdigt werden müssen, was jedoch sowohl im Sachverhalt als auch in den Erwägungen unterlassen wurde.</w:t>
      </w:r>
    </w:p>
    <w:p>
      <w:r>
        <w:rPr>
          <w:b/>
        </w:rPr>
        <w:t>E. 7.3</w:t>
      </w:r>
    </w:p>
    <w:p>
      <w:r>
        <w:t>Da das SEM die exilpolitischen Aktivitäten in der angefochtenen Verfügung nicht gewürdigt hat, ist vorliegend die Begründungpflicht als verletzt zu erachten.</w:t>
      </w:r>
    </w:p>
    <w:p>
      <w:r>
        <w:rPr>
          <w:b/>
        </w:rPr>
        <w:t>E. 8</w:t>
      </w:r>
    </w:p>
    <w:p>
      <w:r>
        <w:t>Der Anspruch auf rechtliches Gehör ist formeller Natur, eine Verletzung desselben führt deshalb grundsätzlich - das heisst ungeachtet der materiellen Auswirkungen - zur Aufhebung des daraufhin ergangenen Entscheides (vgl. BVGE 2013/34 E. 4.2, 2012/24 E. 3.4, 2010/41 E. 6.4.2, m.w.H.). Die Heilung von Gehörsverletzungen ist zwar in Ausnahmefällen auf Beschwerdeebene unter gewissen Voraussetzungen möglich. Da im Kontext von Sri Lanka jedoch die exilpolitischen Aktivitäten der sri-lankischen Diaspora in der Schweiz von gewichtiger Bedeutung sind, ist auf eine Heilung zu verzichten. Die Sache ist deshalb zu kassieren und das Verfahren einer neuen Verfügung - unter Würdigung aller entscheidwesentlichen Sachverhaltselemente - beizubringen ist.</w:t>
      </w:r>
    </w:p>
    <w:p>
      <w:r>
        <w:rPr>
          <w:b/>
        </w:rPr>
        <w:t>E. 9</w:t>
      </w:r>
    </w:p>
    <w:p>
      <w:r>
        <w:t>Nach dem Gesagten ist die Verfügung des SEM vom 21. August 2018 - in Gutheissung der Beschwerde - aufzuheben und die Sache zur Wiederaufnahme und ordnungsgemässen Fortsetzung des erstinstanzlichen Verfahrens an das SEM zurückzuweisen.</w:t>
      </w:r>
    </w:p>
    <w:p>
      <w:r>
        <w:rPr>
          <w:b/>
        </w:rPr>
        <w:t>E. 10</w:t>
      </w:r>
    </w:p>
    <w:p>
      <w:r>
        <w:t>Bei dieser Sachlage erübrigt sich eine weitere Auseinandersetzung mit den Vorbringen in der Beschwerde.</w:t>
      </w:r>
    </w:p>
    <w:p>
      <w:r>
        <w:rPr>
          <w:b/>
        </w:rPr>
        <w:t>E. 11.1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in Verbindung mit Art. 3 des Reglements vom 11. Dezember 2006 über die Kosten und Entschädigungen vor dem Bundesverwaltungsgericht [VGKE, SR 173.320.2]; Urteil des BGer 2A.474/2002 E. 7.2 vom 17. März 2003 E. 7.2). Der Rechtsvertreter des Beschwerdeführers stellte erneut Rechtsbegehren, über welche bereits mehrfach befunden worden ist (vorliegend Offenlegung der Quellen des Länderberichts des SEM vom 16. August 2016 zu Sri Lanka, Bestätigung der Zufälligkeit beziehungsweise der Offenlegung der objektiven Kriterien der Zusammensetzung des Spruchkörpers). Trotz der Gutheissung der Beschwerde ist es folglich gerechtfertigt, ihm androhungsgemäss (vgl. etwa Urteil des BVGer D-4191/2018 E. 13.2) die unnötig verursachten Kosten der Begehen, über welche vorliegend befunden wurde, persönlich aufzuerlegen. Die diesbezüglichen Kosten sind auf Fr. 100.- festzusetzen (vgl. Art. 6 AsylG i.V.m. Art. 66 Abs. 3 BGG; u.a. Urteil des BGer 5D_56/2018 vom 18. Juli 2018 E. 6).</w:t>
      </w:r>
    </w:p>
    <w:p>
      <w:r>
        <w:rPr>
          <w:b/>
        </w:rPr>
        <w:t>E. 11.2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