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D-5459/2017 vom 7. März 2018</w:t>
      </w:r>
    </w:p>
    <w:p>
      <w:r>
        <w:t>Bundesverwaltungsgericht, 2018-03-07, DE</w:t>
      </w:r>
    </w:p>
    <w:p>
      <w:r>
        <w:rPr>
          <w:b/>
        </w:rPr>
        <w:t xml:space="preserve">Quelle: </w:t>
      </w:r>
      <w:r>
        <w:t>https://mcp.opencaselaw.ch/entscheid/bvger_D-5459_2017</w:t>
      </w:r>
    </w:p>
    <w:p>
      <w:r>
        <w:t>FR: TAF D-5459/2017 du 7 mars 2018</w:t>
      </w:r>
    </w:p>
    <w:p>
      <w:r>
        <w:t>IT: TAF D-5459/2017 del 7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nach der fristgerechten Leistung des Kostenvorschusses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Nach Auffassung des Gerichts hinterlässt die Argumentation der Vorinstanz im Asylpunkt nach Durchsicht der Akten im Ergebnis einen überzeugenden Eindruck. Mit dem sinngemässen Wiederholen des aktenkundigen Sachverhalts und den Ausführungen zur Situation der Ahmadis in Pakistan vermag der Beschwerdeführer keine individuelle Verfolgung im Sinne von Art. 3 AsylG oder eine diesbezügliche begründete Furcht nachzuweisen. Zur Vermeidung von Wiederholungen kann auf die zutreffenden Erwägungen in der angefochtenen Verfügung verwiesen werden, denen der Beschwerdeführer mit seinen Ausführungen in der Beschwerdeeingabe nichts Substanzielles entgegenzusetzen vermag. Dem Beschwerdeführer wurde bereits mit Zwischenverfügung vom 10. Oktober 2017 ausführlich dargelegt, weshalb seine Vorbringen in der Beschwerde - da aussichtslos - keine andere Beurteilung in der Frage der Asylgewährung zu bewirken vermögen. Sodann hat sich die Sachlage hinsichtlich der Begehren von damals zwischenzeitlich nicht verändert, weshalb sich weitere Erörterungen erübrigen und auf besagte Zwischenverfügung zu verweisen ist.</w:t>
      </w:r>
    </w:p>
    <w:p>
      <w:r>
        <w:rPr>
          <w:b/>
        </w:rPr>
        <w:t>E. 4.4</w:t>
      </w:r>
    </w:p>
    <w:p>
      <w:r>
        <w:t>Zusammenfassend ist festzuhalten, dass es dem Beschwerdeführer nicht gelungen ist, die Flüchtlingseigenschaft nachzuweisen oder zumindest glaubhaft zu machen. Die Vorinstanz hat sein Asylgesuch demzufolge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w:t>
      </w:r>
    </w:p>
    <w:p>
      <w:r>
        <w:t>Die allgemeine Lage in Pakistan ist weder von Bürgerkrieg noch von allgemeiner Gewalt gekennzeichnet, so dass der Vollzug der Wegweisung dorthin grundsätzlich zumutbar erscheint. Zudem bestehen keine individuellen Wegweisungshindernisse. So handelt es sich beim Beschwerdeführer um einen jungen, soweit aktenkundig, nicht an einer lebensbedrohenden Krankheit leidenden Mann im arbeitsfähigen Alter, der mit seinen Eltern und (...) Brüdern in Pakistan über ein tragendes Beziehungsnetz in seinem Heimatstaat verfügt. Sodann ergibt sich aus seiner persönlichen Situation kein zusätzliches, über die schwierige Alltagslage der Ahmadis hinausgehendes Gefährdungsindiz (vgl. Urteil des BVGer E-4621/2013 vom 27. Oktober 2015 E. 8.3.4). Nach dem Gesagten erweist sich der Vollzug der Wegweisung auch als zumutbar.</w:t>
      </w:r>
    </w:p>
    <w:p>
      <w:r>
        <w:rPr>
          <w:b/>
        </w:rPr>
        <w:t>E. 6.5</w:t>
      </w:r>
    </w:p>
    <w:p>
      <w:r>
        <w:t>Schliesslich obliegt es dem Beschwerdeführer die für eine Rückkehr allfällig notwendig werdenden Reisevorkehrungen bei der zuständigen Vertretung des Heimatstaates zu treffen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17. Oktober 2017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