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D-5443/2016 vom 26. Juni 2017</w:t>
      </w:r>
    </w:p>
    <w:p>
      <w:r>
        <w:t>Bundesverwaltungsgericht, 2017-06-26, FR</w:t>
      </w:r>
    </w:p>
    <w:p>
      <w:r>
        <w:rPr>
          <w:b/>
        </w:rPr>
        <w:t xml:space="preserve">Quelle: </w:t>
      </w:r>
      <w:r>
        <w:t>https://mcp.opencaselaw.ch/entscheid/bvger_D-5443_2016</w:t>
      </w:r>
    </w:p>
    <w:p>
      <w:r>
        <w:t>FR: TAF D-5443/2016 du 26 juin 2017</w:t>
      </w:r>
    </w:p>
    <w:p>
      <w:r>
        <w:t>IT: TAF D-5443/2016 del 26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art. 33 let. d LTAF et art. 83 let. d ch. 1 LTF), exception non réalisée en l'espèce.</w:t>
      </w:r>
    </w:p>
    <w:p>
      <w:r>
        <w:rPr>
          <w:b/>
        </w:rPr>
        <w:t>E. 1.2</w:t>
      </w:r>
    </w:p>
    <w:p>
      <w:r>
        <w:t>A._______ a qualité pour recourir. Présenté dans la forme et le délai prescrits par la loi, le recours est recevable (cf.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w:t>
      </w:r>
    </w:p>
    <w:p>
      <w:r>
        <w:t>Au vu des particularités de la cause, il est renoncé à un échange d'écritures (art. 111a al. 1 LAsi).</w:t>
      </w:r>
    </w:p>
    <w:p>
      <w:r>
        <w:rPr>
          <w:b/>
        </w:rPr>
        <w:t>E. 4.1</w:t>
      </w:r>
    </w:p>
    <w:p>
      <w:r>
        <w:t>En l'occurrence, la décision est fondée sur l'art. 31a al. 1 let. b LAsi, disposition en vertu de laquelle le SEM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4.3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9.1; 2012/4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Il peut aussi admettre cette responsabilité pour des raisons humanitaires au sens de l'art. 29a al. 3 de l'ordonnance 1 du 11 août 1999 sur l'asile (OA 1, RS 142.311).</w:t>
      </w:r>
    </w:p>
    <w:p>
      <w:r>
        <w:rPr>
          <w:b/>
        </w:rPr>
        <w:t>E. 5.1</w:t>
      </w:r>
    </w:p>
    <w:p>
      <w:r>
        <w:t>En l'occurrence, il n'est pas contesté que la Hongrie est le pays compétent, selon les critères du règlement Dublin III, pour traiter la demande de protection du recourant.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w:t>
      </w:r>
    </w:p>
    <w:p>
      <w:r>
        <w:rPr>
          <w:b/>
        </w:rPr>
        <w:t>E. 5.2</w:t>
      </w:r>
    </w:p>
    <w:p>
      <w:r>
        <w:t>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5.3</w:t>
      </w:r>
    </w:p>
    <w:p>
      <w:r>
        <w:t>Pour les mêmes motifs que ceux exposés dans l'arrêt mentionné ci-avant, le Tribunal n'est pas en mesure de statuer sur le recours du 8 septembre 2016, interjeté contre la décision entreprise. Celle-ci doit donc être annulée pour constatation incomplète de l'état de fait pertinent et la cause renvoyée au SEM pour complément d'instruction et nouvelle décision. Le recours doit dès lors être admis, sans qu'il soit nécessaire d'examiner les nombreux autres griefs qui y sont avancés.</w:t>
      </w:r>
    </w:p>
    <w:p>
      <w:r>
        <w:rPr>
          <w:b/>
        </w:rPr>
        <w:t>E. 6</w:t>
      </w:r>
    </w:p>
    <w:p>
      <w:r>
        <w:t>S'avérant manifestement fondé au vu des considérations qui précèdent, le recours est admis dans une procédure à juge unique, avec l'approbation d'un second juge (cf. art. 111 let. e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133 V 450 consid. 13; 132 V 215 consid. 6.1; Marcel Maillard, commentaire ad art. 63 PA, in : Praxiskommentar VwVG, Waldmann/ Weissenberger [éd.], 2ème éd., 2016, no 14, p. 1314). Il n'est dès lors pas perçu de frais de procédure (cf. art. 63 al. 1 et 2 PA).</w:t>
      </w:r>
    </w:p>
    <w:p>
      <w:r>
        <w:rPr>
          <w:b/>
        </w:rPr>
        <w:t>E. 7.2.1</w:t>
      </w:r>
    </w:p>
    <w:p>
      <w:r>
        <w:t>En conséquence, il y a lieu d'allouer au recourant des dépens.</w:t>
      </w:r>
    </w:p>
    <w:p>
      <w:r>
        <w:rPr>
          <w:b/>
        </w:rPr>
        <w:t>E. 7.2.2</w:t>
      </w:r>
    </w:p>
    <w:p>
      <w:r>
        <w:t>D'après l'art. 64 al. 1 PA, la partie qui obtient gain de cause a droit à des dépens pour les frais indispensables et relativement élevés causés par le litige (cf. à ce sujet aussi art. 7 al. 1 FITAF, où est utilisé le terme de "frais nécessaires", qui a toutefois la même portée). L'art. 8 al. 2 FITAF précise encore que les frais non nécessaires ne sont pas indemnisés et l'art. 10 al. 1 FITAF que les honoraires d'avocat sont calculés en fonction du temps nécessaire à la défense de la partie représentée. La notion de "frais indispensables et relativement élevés", en tant que notion juridique indéterminée, vient garantir au Tribunal un important pouvoir d'appréciation. A cet égard, il apprécie librement, au vu des circonstances du cas d'espèce et de la situation procédurale (p. ex. lorsque les écritures de la partie qui a eu droit à des dépens ont été inutilement longues et répétitives), dans quelle proportion une indemnité de dépens est due (Jerome Candrian, Introduction à la procédure administrative fédérale - La procédure devant les autorités administratives fédérales et le Tribunal administratif fédéral, 2013, n. marg. 218, p. 127).</w:t>
      </w:r>
    </w:p>
    <w:p>
      <w:r>
        <w:rPr>
          <w:b/>
        </w:rPr>
        <w:t>E. 7.2.3</w:t>
      </w:r>
    </w:p>
    <w:p>
      <w:r>
        <w:t>Dans son décompte de ses prestations du 19 juin 2017, le mandataire demande un montant total de 3826,90 francs (15.75 heures de travail personnel pour un tarif horaire de 240 francs, ainsi que 46.90 francs de débours) auquel il faut encore ajouter la TVA. Vu le dossier du recourant et les recherches complémentaires entreprises dans d'autres dossiers du Tribunal où ce mandataire est intervenu dans des procédures Dublin concernant la Hongrie, la somme requise ne saurait être allouée en totalité. Tout d'abord, le Tribunal rappelle au mandataire que le temps consacré à l'établissement de la note d'honoraires ne saurait être comptabilisé. Il convient aussi de retrancher une partie du temps excessif consacré à la simple transmission de la courte décision incidente du Tribunal du 16 septembre 2016 à son mandant. Ensuite, le temps consacré à la préparation et à la rédaction du présent recours paraît également excessif. Le mandataire est en effet intervenu précédemment dans d'autres procédures Dublin concernant la Hongrie. Le Tribunal constate en particulier que des passages entiers du recours introduit le 8 septembre 2016 se trouvent également dans au moins un autre recours adressé précédemment au Tribunal, les nombreux moyens de preuve annexés à chacun des deux mémoires étant en grande partie identiques. Enfin, le mandataire du recourant a été prolixe dans l'argumentation de son mémoire, en invoquant abondamment des griefs formels, mais en formulant aussi des requêtes (cf. celles concernant le choix aléatoire du collège des juges et du greffier; cf. aussi p. 3 du mémoire et la décision incidente du 16 septembre 2016) et des demandes de mesures d'instruction qu'il présente régulièrement dans de nombreuses procédures de recours. Requêtes et mesures d'instruction dont il devait savoir qu'elles n'avaient aucune chance d'aboutir, vu les nombreuses réponses négatives qu'il a déjà reçues du Tribunal.</w:t>
      </w:r>
    </w:p>
    <w:p>
      <w:r>
        <w:rPr>
          <w:b/>
        </w:rPr>
        <w:t>E. 7.2.4</w:t>
      </w:r>
    </w:p>
    <w:p>
      <w:r>
        <w:t>Partant, le Tribunal considère qu'une somme de 1900 francs (TVA comprise) à titre de dépens suffit pour couvrir les frais indispensables (ou nécessaires), tels que définis ci-avant.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