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D-5443/2013 vom 27. Januar 2014</w:t>
      </w:r>
    </w:p>
    <w:p>
      <w:r>
        <w:t>Bundesverwaltungsgericht, 2014-01-27, DE</w:t>
      </w:r>
    </w:p>
    <w:p>
      <w:r>
        <w:rPr>
          <w:b/>
        </w:rPr>
        <w:t xml:space="preserve">Quelle: </w:t>
      </w:r>
      <w:r>
        <w:t>https://mcp.opencaselaw.ch/entscheid/bvger_D-5443_2013</w:t>
      </w:r>
    </w:p>
    <w:p>
      <w:r>
        <w:t>FR: TAF D-5443/2013 du 27 janvier 2014</w:t>
      </w:r>
    </w:p>
    <w:p>
      <w:r>
        <w:t>IT: TAF D-5443/2013 del 27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 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2013/11 E. 5.1 S. 142 f., BVGE 2010/57 E. 2.3 S. 826 f.).</w:t>
      </w:r>
    </w:p>
    <w:p>
      <w:r>
        <w:rPr>
          <w:b/>
        </w:rPr>
        <w:t>E. 3.4</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2013/11 E. 5.1 S. 141 f., BVGE 2008/34 E. 7.1 S. 507 f., BVGE 2008/12 E. 5.2 S. 154 f., Walter Stöckli, Asyl, in: Uebersax/Rudin/Hugi Yar/Geiser [Hrsg.], Ausländerrecht, 2. Aufl., Basel/Bern/Lausanne 2009, Rz. 11.17 und 11.18).</w:t>
      </w:r>
    </w:p>
    <w:p>
      <w:r>
        <w:rPr>
          <w:b/>
        </w:rPr>
        <w:t>E. 4.1</w:t>
      </w:r>
    </w:p>
    <w:p>
      <w:r>
        <w:t>Das Bundesverwaltungsgericht teilt die Einschätzung der Vorinstanz, wonach die Kernvorbringen des Beschwerdeführers, mehrere Personen hätten ihn in der ersten Märzwoche 2009 entführt und in der Folge eine grössere Summe Geldes von ihm erpresst, zufolge etlicher Widersprüche in Bezug auf die Modalitäten seiner Entführung als zweifelhaft einzustufen sind. So fällt in der Tat auf, dass der Beschwerdeführer anlässlich der Erstbefragung erklärte, die drei Männer hätten ihn damals gefesselt und ins Auto gezerrt (vgl. act. A1/14 S. 6, Ziff. 15), wogegen er bei der Bundesanhörung behauptete, er sei damals von drei Leuten angehalten worden und auf deren Aufforderung hin in das bereitstehende Auto eingestiegen, ohne gefesselt worden zu sein (vgl. act. A55/18 S. 7, Frage 56 und Antwort 56 i.V.m. S. 9, Frage 71 und Antwort 71).</w:t>
      </w:r>
    </w:p>
    <w:p>
      <w:r>
        <w:rPr>
          <w:b/>
        </w:rPr>
        <w:t>E. 4.2</w:t>
      </w:r>
    </w:p>
    <w:p>
      <w:r>
        <w:t>Eine abschliessende Bewertung der Glaubhaftigkeit der Gesamtvorbringen des Beschwerdeführers kann indessen vorliegend unterbleiben, da selbst im Falle der Annahme, dass seine Aussagen den Tatsachen entsprechen sollten, diese aus nachfolgenden Gründen als in asylrechtlicher Hinsicht nicht relevant zu bezeichnen sind: Eine Verfolgung vermag nämlich erst dann die Flüchtlingseigenschaft zu begründen, wenn sie aus einem der in Art. 3 Abs. 1 AsylG genannten Gründe (Rasse, Religion, Nationalität, Zugehörigkeit zu einer bestimmten sozialen Gruppe oder politische Anschauung) erfolgt. Ein derartiges Verfolgungsmotiv (vgl. hierzu beispielsweise Walter Kälin, Grundriss des Asylverfahrens, Basel/Frankfurt a. M. 1990, S. 86 ff; Alberto Achermann/Christina Hausammann, Handbuch des Asylrechts, 2. Aufl., Bern/Stuttgart 1991, S. 95 ff.; Stöckli, a.a.O., Rz. 11.10 - 11.12) ist aus den vorliegenden Akten indessen nicht ersichtlich, besteht der Grund für die Behelligung des Beschwerdeführers doch einzig darin, dass er aufgrund seines Vermögens für einige Kriminelle allem Anschein nach ein interessantes Opfer wirtschaftlicher Interessen darstellte. Darin liegt nun aber aus asylrechtlicher Sicht kein beachtliches Verfolgungsmotiv, handelt es sich hierbei doch schlicht um gemeinrechtliche Straftaten Einzelner.</w:t>
      </w:r>
    </w:p>
    <w:p>
      <w:r>
        <w:rPr>
          <w:b/>
        </w:rPr>
        <w:t>E. 4.3</w:t>
      </w:r>
    </w:p>
    <w:p>
      <w:r>
        <w:t>Die Beschwerdeführerin hat in eigener Person keine Asylgründe vorgebracht, weshalb sich diesbezügliche Erwägungen erübrigen.</w:t>
      </w:r>
    </w:p>
    <w:p>
      <w:r>
        <w:rPr>
          <w:b/>
        </w:rPr>
        <w:t>E. 4.4</w:t>
      </w:r>
    </w:p>
    <w:p>
      <w:r>
        <w:t>Zusammenfassend ergibt sich, dass es den Beschwerdeführenden nicht gelungen ist, die Flüchtlingseigenschaft nachzuweisen oder zumindest glaubhaft zu machen. Es erübrigt sich, auf die Vorbringen in der Beschwerde im Einzelnen einzugehen, da diese am Ergebnis nichts zu ändern vermögen. Das BFM hat ihre Asylgesuche demnach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2011/24 E. 10.1 S. 502).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Es bleibt zu prüfen, ob sich aus den Aussagen der Beschwerdeführenden beziehungsweise aus den Akten Anhaltspunkte dafür ergeben, dass diese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Diesbezüglich ist zunächst - trotz gewisser Zweifel an der Glaubhaftigkeit der entsprechenden Vorbringen (vgl. E. 4.1 hiervor) - davon auszugehen, dass der Beschwerdeführer vor seiner Ausreise aus der Heimat mehrfach Anstände mit Kriminellen hatte, welche von ihm eine höhere Geldsumme erpresst und ihn auch an Leib und Leben bedroht hatten, wobei der Beschwerdeführer sich weiteren Zahlungsaufforderungen durch gemeinsame Flucht mit der Beschwerdeführerin ins Ausland entzogen hat. Gemäss BVGE 2011/38 präsentiert sich die Sicherheitslage in der Stadt Herat allerdings verhältnismässig gut und ist mit derjenigen in Kabul vergleichbar. Die Zahl der Angriffe in der Stadt selbst ist gering. Seit Juni 2011 sind in der Stadt selbst keine Aktivitäten von bewaffneten Gruppen mehr zu verzeichnen. So wurde die Verantwortung für die Sicherheit am 21. Juli 2011 von der durch die NATO seinerzeit im Jahr 2001 eingesetzten Unterstützungstruppe "International Security Assistance For-ce" (ISAF) auf die afghanischen Sicherheitskräfte übertragen (BVGE, a.a.O., E. 4.3.3.1 S. 818 ff.). Auch neuere, im Urteil D-3307/2011 des Bundesverwaltungsgerichts vom 17. Januar 2013 zitierte Quellen bestätigen die grundsätzliche Schutzfähigkeit der Behörden in Herat (vgl. Afghanistan, Country of Origin Information for Use in the Asylum Determination Process, Report from Danish Immigration Service's fact finding mission to Kabul, Afghanistan 25 February to 4 March 2012, Mai 2012, S. 6 und 8). Somit sind in Herat entgegen den Behauptungen in der Beschwerde sowohl die Schutzwilligkeit als auch die Schutzfähigkeit der Behörden zu bejahen. Aufgrund des soeben Ausgeführten ist festzuhalten, dass es für den Beschwerdeführer sowie seine Ehefrau grundsätzlich möglich wäre, in Herat bei den für die Sicherheit zuständigen Behörden Schutz vor allfälligen Behelligungen durch an seinem Vermögen und seinen Gütern interessierten Kriminellen zu suchen.</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2009/2 E. 9.2.1).</w:t>
      </w:r>
    </w:p>
    <w:p>
      <w:r>
        <w:rPr>
          <w:b/>
        </w:rPr>
        <w:t>E. 6.3.1</w:t>
      </w:r>
    </w:p>
    <w:p>
      <w:r>
        <w:t>Hinsichtlich der Zumutbarkeit des Wegweisungsvollzugs hält das 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EMARK 2003 Nr. 10 formulierten strengen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(vgl. für Herat BVGE 2011/38 E. 4.3.3.1 und 4.3.3.2 S. 818 ff. und für Kabul BVGE 2011/7 E. 9.9 S. 104 ff.).</w:t>
      </w:r>
    </w:p>
    <w:p>
      <w:r>
        <w:rPr>
          <w:b/>
        </w:rPr>
        <w:t>E. 6.3.2</w:t>
      </w:r>
    </w:p>
    <w:p>
      <w:r>
        <w:t>Im vorliegenden Fall stellt sich vorab die Frage, ob die Beschwerdeführenden bei einer Rückkehr in die Stadt Herat auf ein hinreichendes soziales Beziehungsnetz zurückgreifen können. Diesbezüglich wies der Beschwerdeführer bereits im Rahmen des erstinstanzlichen Verfahrens darauf hin, dass seine Mutter nach dem Todes ihres Ehemannes beziehungsweise seines Vaters im Jahre 2012 Afghanistan zusammen mit ihrem jüngeren Sohn in Richtung M._______ verlassen habe, wo sie dann Anfang August des Jahres 2013 verstorben sei. Demgegenüber hielten die Beschwerdeführenden noch anlässlich ihrer Bundesanhörung am 5. März 2013 übereinstimmend fest, dass sowohl die Eltern als auch vier Brüder und eine Schwester der Beschwerdeführerin nach wie vor in der Stadt Herat lebten (vgl. act. A55/18 S. 2 f., Antworten auf Frage 9 f. und act. A56/9 S. 2 f., Antworten auf Fragen 7 bis 11). Auf Beschwerdeebene machten die Beschwerdeführenden demgegenüber neu geltend, die Eltern der Beschwerdeführerin seien zwischenzeitlich ebenfalls in den M._______ ausgereist und reichten als Beleg hierfür die Kopie eines O._______ Mietvertrages inklusive englischer Übersetzung ein. In diesem Zusammenhang fällt indessen vorab auf, dass der angeblich auf den Vater der Beschwerdeführerin lautende O._______ Mietvertrag, welcher dem Bundesverwaltungsgericht entgegen den Behauptungen der Beschwerdeführenden (vgl. Sachverhalt Bst. J) nicht im Original, sondern nur als Kopie einer notariell als Kopie des Originalmietvertrages beglaubigten Urkunde inklusive deren englischer Übersetzung vorliegt, vom 25. Feb­ruar 2012 datiert, während die Eltern der Beschwerdeführerin am 5. März 2013 nach den Angaben ihrer Tochter beziehungsweise ihres Schwiegersohns offensichtlich noch in Herat lebten. Bereits dieser Umstand deutet darauf hin, dass die Beschwerdeführenden durch die nachträgliche Einreichung dieses Dokumentes den Schweizer Asylbehörden gegenüber lediglich vorzutäuschen versucht haben, in Herat aktuell über kein tragfähiges soziales Beziehungsnetz mehr zu verfügen, um dergestalt gestützt auf die Schweizerische Rechtsprechung zu Afghanistan eine vorläufige Aufnahme in der Schweiz zu ihren Gunsten zu erwirken. Ihre entsprechende lapidare Erklärung in der Replik vom 21. November 2013, ein Bruder der Beschwerdeführerin habe diese Wohnung bereits (mehr als ein Jahr) vor der tatsächlich erst im Juli 2013 erfolgten Ausreise ihrer Eltern angemietet (a.a.O., S. 1/2), vermag das Gericht jedenfalls in keiner Weise zu überzeugen. Ebenfalls nicht zu überzeugen vermag die Behauptung der Beschwerdeführenden, sie seien nicht in der Lage, eine behördliche Wohnsitzbescheinigung der O._______ Behörden zugunsten ihrer Eltern beziehungsweise Schwiegereltern beizubringen, da diese illegal dort lebten, zumal es zum Vornherein nicht plausibel erscheint, dass diese in N._______ offiziell ein Haus mieten könnten, ohne dort gleichzeitig registriert zu sein respektive über einen legalen Status zu verfügen. Nach dem Gesagten haben die Beschwerdeführenden nicht glaubhaft zu machen vermocht, in Herat über keine nahen Familienangehörigen mehr zu verfügen.</w:t>
      </w:r>
    </w:p>
    <w:p>
      <w:r>
        <w:rPr>
          <w:b/>
        </w:rPr>
        <w:t>E. 6.3.3</w:t>
      </w:r>
    </w:p>
    <w:p>
      <w:r>
        <w:t>Im Weiteren sind die Beschwerdeführenden noch relativ jung und gesund. Soweit die Beschwerdeführerin in diesem Zusammenhang geltend macht, sie habe in der Schweiz eine Allergie gegen "irgendetwas" entwickelt, das in der Luft liege (vgl. act. A56/9 S. 2, Antworten auf Fragen 4 bis 6), bleibt anzufügen, dass ihr allfällige, zur Linderung jener Allergie erforderliche Medikamente im Sinne einer medizinischen Rückkehrhilfe (vgl. Art. 93 Abs. 1 Bst. d AsylG) auf die Rückreise mitgegeben werden könnten. Im Weiteren sind die Beschwerdeführenden gemäss ihren eigenen Angaben in Herat aufgewachsen und haben dort während sieben (Beschwerdeführer) beziehungsweise neun Jahren (Beschwerdeführerin) die Schulen besucht. So besehen ist auch davon auszugehen, dass sie dort neben Familienangehörigen über weitere soziale Kontakte verfügen. Zudem machte der Beschwerdeführer geltend, seine Familie sei sehr vermögend und verfüge in Herat über S._______ und mehrere T._______ (vgl. act. A55/18 S. 3 f., Antworten auf Frage 12 ff.). Somit verfügen die Beschwerdeführenden in Herat über ein tragfähiges soziales Beziehungsnetz und über die notwendigen wirtschaftlichen Ressourcen, um sich dort erneut eine Lebensgrundlage aufzubauen. Der Wegweisungsvollzug der Beschwerdeführenden in die Stadt Herat ist folglich im Lichte der aktuellen Rechtsprechung zu Afghanistan sowohl in genereller als auch in individueller Hinsicht als zumutbar zu erachten.</w:t>
      </w:r>
    </w:p>
    <w:p>
      <w:r>
        <w:rPr>
          <w:b/>
        </w:rPr>
        <w:t>E. 6.4</w:t>
      </w:r>
    </w:p>
    <w:p>
      <w:r>
        <w:t>Schliesslich obliegt es den Beschwerdeführenden, sich bei der zuständigen Vertretung ihres Heimatstaates die für eine Rückkehr notwendigen Reisepapiere zu beschaffen (Art. 8 Abs. 4 AsylG; vgl. auch BVGE 2008/34 E. 12.), weshalb der Vollzug der Wegweisung auch als möglich zu bezeichnen ist.</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des Verfahrens grundsätzlich den Beschwerdeführenden aufzuerlegen (Art. 63 Abs. 1 VwVG). Diese haben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die Beschwerdeführenden mittellos sind. Zudem erschienen ihre Begehren im Zeitpunkt der Beschwerdeeinreichung als nicht aussichtslos. Das Gesuch um Gewährung der unentgeltlichen Rechtspflege ist demnach gutzuheissen und es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