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D-5441/2020 vom 5. November 2021</w:t>
      </w:r>
    </w:p>
    <w:p>
      <w:r>
        <w:t>Bundesverwaltungsgericht, 2021-11-05, DE</w:t>
      </w:r>
    </w:p>
    <w:p>
      <w:r>
        <w:rPr>
          <w:b/>
        </w:rPr>
        <w:t xml:space="preserve">Quelle: </w:t>
      </w:r>
      <w:r>
        <w:t>https://mcp.opencaselaw.ch/entscheid/bvger_D-5441_2020</w:t>
      </w:r>
    </w:p>
    <w:p>
      <w:r>
        <w:t>FR: TAF D-5441/2020 du 5 novembre 2021</w:t>
      </w:r>
    </w:p>
    <w:p>
      <w:r>
        <w:t>IT: TAF D-5441/2020 del 5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im Wesentlichen fest, die Vorbringen des Beschwerdeführers seien nicht glaubhaft. Seine Ausführungen seien in einigen wichtigen Punkten widersprüchlich ausgefallen. Dies betreffe vor allem die Beschreibung der erlittenen Übergriffe. So habe er an der Befragung angegeben, er sei geschlagen und mit Zigaretten verbrannt worden. An der Anhörung habe er hingegen gesagt, er sei geschlagen worden und sie hätten ihm die Hand verdreht. Auf explizite Rückfrage habe er angegeben, keine weitere Folter erlitten zu haben. Auf diesen Widerspruch angesprochen habe er lediglich angegeben, es sei ihm nicht in den Sinn gekommen. Weiter habe er sich auch in zeitlicher Hinsicht widersprochen. An der Befragung habe er angegeben, er hätte am nächsten Tag verlegt werden sollen. An der Anhörung habe er hingegen gesagt, dies sei noch am gleichen Tag, bei Dämmerung gewesen. Auf diesen Widerspruch angesprochen habe er eine dritte Version vorgebracht, wonach es Nacht gewesen sei, er sich aber nicht an die Zeit erinnern könne. Schliesslich habe er sich an der Befragung auch zur Reise nach Mannar widersprochen. Nach seinem Reiseweg befragt habe er zunächst angegeben, mit dem Bus dorthin gelangt zu sein. Bei den Gesuchsgründen habe er dann aber gesagt, er sei mit dem Motorrad dorthin gefahren worden. Auch diesen Widerspruch habe er auf Nachfrage nicht aufzulösen gewusst. Einige seiner Aussagen seien zudem vage und nicht detailliert ausgefallen. So habe er nicht erklären können, weshalb sie im Zusammenhang mit den Waffenfunden ihn, der während der Kriegszeit noch ein Kind gewesen sei, und nicht seinen Onkel, der ein LTTE-Mitglied gewesen sei, verhaftet hätten. Auch habe er nicht erklären können, wie sein Onkel von der Verhaftung erfahren habe und wie dieser seine Entlassung und seine Ausreise in so kurzer Zeit habe organisieren können. Er habe lediglich angegeben, dass jemand vielleicht gesehen habe, wie er mitgenommen worden sei, und seinen Onkel informiert habe. Weiter habe er hinzugefügt, er wisse nicht, wieviel sein Onkel bezahlt habe und wie er das Geld in so kurzer Zeit habe auftreiben können. Auch bestehe kein Anlass zur Annahme, dass er bei einer allfälligen Rückkehr in sein Heimatland mit beachtlicher Wahrscheinlichkeit asylrelevanter Verfolgung ausgesetzt wäre. Allfällige Kontrollen der Rückkehrer am Flughafen und am Herkunftsort nähmen grundsätzlich kein asylrelevantes Ausmass an. Der Beschwerdeführer habe vor seiner Ausreise keine Verfolgung glaubhaft machen können. Vielmehr habe er bis im Dezember 2018 noch neun Jahre nach Kriegsende in Sri Lanka gelebt. Allfällige Risikofaktoren, welche zur Zeit seiner Ausreise existiert hätten, hätten nicht zu einer staatlichen Verfolgung geführt. Aus den Akten gehe nicht hervor, dass er bei einer Rückkehr nun eine Verfolgung zu befürchten hätte. Auch die aktuelle Lage nach der im Jahr 2019 erfolgten Präsidentschaftswahl vermöge diese Einschätzung nicht umzustossen. Weder habe der Beschwerdeführer die Präsidentschaftswahl respektive deren Folgen als Gefährdungselement vorgebracht noch seien den Akten Hinweise auf eine Verschärfung seiner persönlichen Situation aufgrund dieses Ereignisses zu entnehmen.</w:t>
      </w:r>
    </w:p>
    <w:p>
      <w:r>
        <w:rPr>
          <w:b/>
        </w:rPr>
        <w:t>E. 4.2</w:t>
      </w:r>
    </w:p>
    <w:p>
      <w:r>
        <w:t>Der Beschwerdeführer hielt dem entgegen, die Vorinstanz berufe sich in ihrer Verfügung lediglich auf kleine angebliche Widersprüche. Zur Verwertung bei der Glaubhaftigkeitsprüfung müssten diese aber diametral sein und wesentliche Aspekte seines Asylgesuches betreffen. An der Anhörung sei ihm das Folterelement des Handverdrehens sehr präsent gewesen, zumal er an dieser Hand zuvor schon zwei Finger verloren habe. Auf die Frage, was das Schlimmste an den Folterungen gewesen sei, habe er denn auch dies angegeben. Bei den Folgefragen habe er nicht verstanden, dass es um die Ausschliesslichkeit der erlebten Folterungen auf Schläge und Handverdrehen gegangen sei. Vor diesem Hintergrund könne ihm die Vorinstanz nicht vorwerfen, das Zigarettenverbrennen nicht erwähnt zu haben. Es sei nachvollziehbar, dass er nur die schlimmsten Folterungen erwähnt habe, zumal es sich um eine Ausnahmesituation gehandelt habe. Inwiefern sich die Schilderungen zu seiner Verhaftung widersprächen, habe die Vorinstanz nicht weiter ausgeführt. Vielmehr habe er einen freien ausführlichen mehrseitigen Bericht zur Antwort gegeben. Zudem habe seine Beschreibung Gefühlsregungen beinhaltet, die über das Stereotype hinausgingen. Dies betreffe gerade die Angst, die er beschrieben habe, als er im Wald hätte aus dem Auto steigen sollen. Weiter könne er sich nicht erklären, wie sich die unrichtigen Aussagen, dass er erst am Folgetag freigelassen worden sei und dass er mit dem Bus nach Mannar gefahren sei, ins Befragungsprotokoll eingeschlichen hätten. Feststehe, dass er an anderer Stelle an der Befragung angegeben habe, mit dem Motorrad hingefahren worden zu sein. Schliesslich habe er die Vorinstanz bereits darüber informiert, dass sein Onkel Kontakte zur Armee gehabt und für diese Sand transportiert habe. So sei eine Freilassung innert kürzester Zeit möglich gewesen. Je nach finanziellen Möglichkeiten könne auch eine schnelle Ausreise durch ein Schlepperteam organisiert werden. Dies erkläre auch, weshalb er die genauen Konditionen nicht gewusst habe. Dass sein Schlepperschiff so schnell abgelegt habe, möge Zufall sein. Nach dem Gesagten sei klar davon auszugehen, dass ihm bei einer Rückkehr nach Sri Lanka Verfolgungshandlungen drohen würden. Er erfülle mehrere Risikofaktoren gemäss Rechtsprechung des Bundesverwaltungsgerichts (Referenzurteil vom 15. Juli 2016 E-1866/2015). Er sei bereits inhaftiert worden wegen des Verdachtes auf eine Beteiligung an einem Waffenversteck beziehungsweise entsprechenden Kenntnissen darüber. Auch habe er mehrere sichtbare Narben, die ihn bei einer Rückschaffung als Opfer von Folter oder Krieg erkennbar machen würden. Diese Annahme werde durch den aktuellen Regierungswechsel und die damit einhergehende Zunahme an Repression bestätigt. Diesbezüglich sei auch auf die Verhaftung einer Mitarbeiterin der Schweizerischen Botschaft zu verweisen. Sie habe Daten von ihrem Mobiltelefon preisgeben müssen, auf welchem sich Namen von Personen befunden hätten, die vor kurzem ein Asylgesuch auf der Schweizer Botschaft gestellt hätten. Dieses rechtswidrige Vorgehen der Regierung lasse vermuten, dass auch gegenüber zurückgeschafften Asylsuchenden aus der Schweiz vermehrt vorgegangen werde.</w:t>
      </w:r>
    </w:p>
    <w:p>
      <w:r>
        <w:rPr>
          <w:b/>
        </w:rPr>
        <w:t>E. 4.3</w:t>
      </w:r>
    </w:p>
    <w:p>
      <w:r>
        <w:t>In seiner Vernehmlassung hielt das SEM fest, dass der Beschwerdeführer die Wahlen im Jahr 2019 weder als Gefährdungselement vorgebracht habe noch eine persönliche Verbindung zu diesen Ereignissen aufweise. Das Gleiche gelte für die Entführung der Botschaftsmitarbeiterin, zumal er nie auf der Botschaft ein Asylgesuch gestellt habe.</w:t>
      </w:r>
    </w:p>
    <w:p>
      <w:r>
        <w:rPr>
          <w:b/>
        </w:rPr>
        <w:t>E. 4.4</w:t>
      </w:r>
    </w:p>
    <w:p>
      <w:r>
        <w:t>In der Replik wurden keine weiteren Ausführungen gemacht.</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Dem Beschwerdeführer ist zwar insofern zuzustimmen, dass seine Aussagen zu seiner Verhaftung in freier Rede relativ ausführlich ausgefallen sind. So berichtete er über zwei Seiten hinweg über die Ereignisse und beschrieb gewisse Details, wie beispielsweise die Angst, als er im Wald hätte aussteigen sollen. Dass der Beschwerdeführer die Verhaftung unsubstantiiert beschrieben habe, macht die Vorinstanz denn auch gar nicht geltend. Die Detailliertheit betrifft aber überwiegend die Mitnahme und die Freilassung. Die Haft selber beschrieb der Beschwerdeführer weniger detailliert. Insbesondere waren aber seine Aussagen auf Rückfrage hin sehr kurz und allgemein geblieben (vgl. A15 F69 ff. und F83). Dies ist als Hinweis darauf zu werten, dass er auswendig gelerntes oder von Dritten gehörtes in freier Rede wiedergeben, auf Rückfragen aber nicht spontan reagieren konnte. Zudem sagte er zunächst, sein Nachbar sei vor ihm verhört worden und er habe davon nichts mitbekommen, um später zu sagen, ihm seien die gleichen Fragen gestellt worden. Darauf angesprochen antwortete er: «Jetzt habe ich nachgedacht und es ist in meine Erinnerung gekommen, dass sie ihn auch einige Fragen vor mir gefragt haben.» (vgl. A15 F77). Wie das SEM richtig ausführte, verstrickte sich der Beschwerdeführer denn auch in weitere Widersprüche. Dass es sich dabei um nebensächliche Elemente und nicht zentrale Punkte seines Asylgesuches gehandelt habe beziehungsweise die Widersprüche nicht diametral gewesen seien, trifft nicht zu. So sind eben gerade die Folterungen ein zentrales Element seines Asylgesuches. Wenn auch vom Beschwerdeführer nicht erwartet werden kann, dass er diese detailliert beschreibt, sollten doch zumindest die Angaben, die er macht, grob übereinstimmen. Auch wenn er die Ausschliesslichkeit nicht ganz verstand und das Handverdrehen subjektiv als schlimmer empfand, ist es doch bemerkenswert, dass er trotz mehrmaligen Rückfragen zu Foltererlebnissen das Verbrennen mit Zigaretten an der Anhörung zunächst nicht erwähnte, und dann auf explizite Rückfrage pauschal antwortete, dies habe er vergessen. Auch der Widerspruch in Bezug auf die zeitliche Einordnung muss als relevant bezeichnet werden, macht es doch einen Unterschied, ob er im Wald, wo er sich so fürchtete, in der Dämmerung, nachts oder am Morgen freigelassen wurde. Ebenso zentral ist es, ob er eine Nacht im Bunker verbringen musste oder am gleichen Tag freigelassen wurde. Die pauschale Behauptung in der Beschwerde, dass es sich im Befragungsprotokoll um einen Fehler gehandelt habe, vermag nicht zu überzeugen. Dem Protokoll sind keine Hinweise auf Verständigungsprobleme zu entnehmen und der Beschwerdeführer hat dessen Richtigkeit unterschriftlich bestätigt. Ebenfalls als zentral zu bezeichnen ist die Frage, wie der Beschwerdeführer nach Mannar reiste, weil dies direkt Teil der Flucht aus der Haft war. Auffällig ist auch hier wieder, dass er bei der Frage nach der Ausreise spontan den Bus angab, und erst bei den Gesuchsgründen an das Motorrad, als Teil seiner offenbar auswendig gelernten Fluchtgeschichte dachte. In Bezug auf die geltend gemachte fehlerhafte Protokollierung ist auf das soeben Ausgeführte zu verweisen.</w:t>
      </w:r>
    </w:p>
    <w:p>
      <w:r>
        <w:rPr>
          <w:b/>
        </w:rPr>
        <w:t>E. 5.3</w:t>
      </w:r>
    </w:p>
    <w:p>
      <w:r>
        <w:t>Im Weiteren führt aber das SEM insbesondere zu Recht aus, es sei nicht nachvollziehbar, dass die Militärangehörigen den Beschwerdeführer mitnahmen und nicht den Onkel. Es ging um Waffen, die offenbar schon lange da vergraben waren. Der Beschwerdeführer war bei Kriegsende (...) Jahre alt. Dass er irgendwelche Informationen zu den Waffenfunden geben könnte, scheint sehr unwahrscheinlich. Viel eher wäre wohl der Onkel angegangen worden, welcher obendrein für die LTTE tätig gewesen war. Insbesondere kann dem Beschwerdeführer auch nicht geglaubt werden, dass der Onkel die Freilassung und die Ausreise in dermassen schneller Zeit aus dem Nichts heraus organisieren konnte. So wurde der Beschwerdeführer am Mittag festgenommen, noch am Abend desselben Tages freigelassen, unmittelbar nach Mannar transportiert, von wo er schon am nächsten Tag in ein Schiff steigen konnte. Dass sein Onkel Beziehungen zur Armee gehabt und für diese Sand transportiert habe, vermag diese enorme Geschwindigkeit der Ereignisse nicht überzeugend zu erklären.</w:t>
      </w:r>
    </w:p>
    <w:p>
      <w:r>
        <w:rPr>
          <w:b/>
        </w:rPr>
        <w:t>E. 5.4</w:t>
      </w:r>
    </w:p>
    <w:p>
      <w:r>
        <w:t>Nach dem Gesagten kann dem Beschwerdeführer nicht geglaubt werden, dass sich eine Verhaftung im von ihm geschilderten Rahmen, mit den angegebenen Folterungen abgespielt hat.</w:t>
      </w:r>
    </w:p>
    <w:p>
      <w:r>
        <w:rPr>
          <w:b/>
        </w:rPr>
        <w:t>E. 5.5</w:t>
      </w:r>
    </w:p>
    <w:p>
      <w:r>
        <w:t>Die eingereichten Beweismittel vermögen am Gesagten nichts zu ändern, zumal sie keinen direkten Bezug zu den Fluchtgründen des Beschwerdeführers haben. Zusammenfassend sind die Vorbringen des Beschwerdeführers als unglaubhaft zu bezeichnen.</w:t>
      </w:r>
    </w:p>
    <w:p>
      <w:r>
        <w:rPr>
          <w:b/>
        </w:rPr>
        <w:t>E. 6</w:t>
      </w:r>
    </w:p>
    <w:p>
      <w:r>
        <w:t>Nach dem Gesagten erfüllte der Beschwerdeführer im Zeitpunkt seiner Ausreise die Flüchtlingseigenschaft nicht. Es bleibt zu prüfen, ob er bei einer Rückkehr nach Sri Lanka mit beachtlicher Wahrscheinlichkeit ernsthafte Nachteile im Sinne von Art. 3 AsylG zu befürchten hat, weshalb die Flüchtlingseigenschaft festzustellen wäre.</w:t>
      </w:r>
    </w:p>
    <w:p>
      <w:r>
        <w:rPr>
          <w:b/>
        </w:rPr>
        <w:t>E. 6.1</w:t>
      </w:r>
    </w:p>
    <w:p>
      <w:r>
        <w:t>Das Bundesverwaltungsgericht hat im publizierten Leitentscheid BVGE 2011/24 verschiedene Risikogruppen definiert, welche bei einer Rückkehr nach Sri Lanka einer erhöhten Verfolgungsgefahr unterliegen. Dazu gehören unter anderen namentlich Personen, die Opfer oder Zeugen schwerer Menschenrechtsverstösse wurden (vgl. BVGE 2011/24 E. 8.3). 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w:t>
      </w:r>
    </w:p>
    <w:p>
      <w:r>
        <w:rPr>
          <w:b/>
        </w:rPr>
        <w:t>E. 6.2</w:t>
      </w:r>
    </w:p>
    <w:p>
      <w:r>
        <w:t>Vorliegend ist nicht davon auszugehen, dass die Behörden dem Beschwerdeführer bei einer Rückkehr eine enge Verbindung zu den LTTE im Sinne obiger Rechtsprechung unterstellen würden. Wie dargelegt, kann ihm nicht geglaubt werden, dass er vor seiner Ausreise im Zusammenhang mit Waffenfunden verhaftet beziehungsweise dass ihm Verbindungen zu den LTTE unterstellt wurden. Zwar gehört der Beschwerdeführer als Opfer schwerer Menschenrechtsverstösse zu einer Risikogruppe. Dies allein reicht aber zum Vorliegen einer Verfolgungsfurcht nicht aus. Der Beschwerdeführer gibt in diesem Zusammenhang lediglich an, sie seien immer wieder von Menschenrechtsorganisationen befragt worden. Die Behörden hätten im Anschluss jeweils auch wissen wollen, was sie diesen Leuten gesagt hätten. Weitere Nachteile machte der Beschwerdeführer während den neun Jahren, die er nach Kriegsende noch in Sri Lanka lebte, aber nicht geltend. Zudem ist zu betonen, dass der Beschwerdeführer bei Kriegsende erst (...) Jahre alt war und er offensichtlich auch keinerlei Auskunft zu den Tätern des Bombenanschlags geben kann. Dass er nunmehr bei einer Wiedereinreise eine Verfolgung zu befürchten hätte, ist nicht ersichtlich. Auch die Narben und das Fehlen von zwei Fingern dürfte in diesem Zusammenhang plausibel zu erklären und angesichts der Bekanntheit des Bombenanschlags (vgl. eingereichter Zeitungsbericht) auch zu belegen sein. Die niederschwelligen LTTE-Verbindungen seines Vaters (zwangsweises Training) und seiner beiden Onkel (Rehabilitierung nach Tätigkeit für die TRO [Tamil Rehabilitation Organisation] beziehungsweise Tätigkeit für die LTTE als Chauffeur in der Landwirtschaft) vermögen ebenfalls keine Verfolgungsfurcht zu begründen, zumal der Tod des Vaters viele Jahre zurückliegt und die beiden Onkel offenbar unbehelligt vor Ort leben. Der Beschwerdeführer hat diesbezüglich vor seiner Ausreise denn auch keine Probleme geltend machte. Das Gesagte gilt auch unter Berücksichtigung der schwach risikobegründenden Faktoren, dass der Beschwerdeführer einige Zeit in der Schweiz geweilt hat und aus diesem Land zurückgeschafft würde. Auch die politischen Veränderungen seit November 2019 vermögen im vorliegenden Verfahren zu keiner anderen Beurteilung zu führen. Der Beschwerdeführer hat keinen persönlichen Bezug zu diesen Ereignissen. Dass seit dem Machtwechsel in Sri Lanka ganze Bevölkerungsgruppen kollektiv einer Verfolgungsgefahr ausgesetzt wären, lässt sich, wie oben ausgeführt, nicht bestätigen. Eine Gesamtwürdigung aller Risikofaktoren lässt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Urteil des BVGer D-2820/2020 vom 30. August 2021 E. 9.2.2).</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13.3.3). Diese Einschätzung hat weiterhin Gültigkeit (vgl. statt vieler Urteil des BVGer D-2820/2020 vom 30. August 2021 E. 9.3.2).</w:t>
      </w:r>
    </w:p>
    <w:p>
      <w:r>
        <w:rPr>
          <w:b/>
        </w:rPr>
        <w:t>E. 8.3.3</w:t>
      </w:r>
    </w:p>
    <w:p>
      <w:r>
        <w:t>Das SEM hielt hierzu fest, der Beschwerdeführer habe immer im Norden Sri Lankas gelebt. Er sei jung und verfüge über ausgedehnte berufliche Erfahrung in verschiedenen Bereichen. Er habe ein familiäres Beziehungsnetz, auf welches er sich stützen könne, und die Familie besitze viele Ländereien. Er selber habe seine wirtschaftliche Situation denn auch als gut beschrieben. Auch sein Gesundheitszustand stehe einer Rückkehr nach Sri Lanka nicht entgegen. Seine Verletzungen würden aus Kindheitstagen stammen und hätten ihn bis anhin nicht an einem normalen Leben gehindert. Seine Beschwerden seien gegebenenfalls mit Schmerzmittel behandelbar und auch in Sri Lanka behandelt worden. In der Beschwerde wurde dem entgegengehalten, es sei nicht davon auszugehen, dass sein Onkel ihn wiederaufnehmen würde. Dieser befürchte wegen seiner Probleme eine Gefährdung der eigenen Kinder. Er wäre somit auf sich alleine gestellt. Hinzu kämen die Einschränkungen, die er aufgrund der Kriegsverletzungen habe. Sein wirtschaftliches Fortkommen ohne familiären Schutz und Unterstützung wäre erschwert.</w:t>
      </w:r>
    </w:p>
    <w:p>
      <w:r>
        <w:rPr>
          <w:b/>
        </w:rPr>
        <w:t>E. 8.3.4</w:t>
      </w:r>
    </w:p>
    <w:p>
      <w:r>
        <w:t>Das Gericht erachtet den Vollzug vorliegend ebenfalls als zumutbar. Diesbezüglich kann zu Vermeidung von Wiederholungen vollumfänglich auf die überzeugenden vorinstanzlichen Erwägungen verwiesen werden. Soweit in der Beschwerde geltend gemacht wird, der Onkel werde den Beschwerdeführer wegen seinen Problemen nicht mehr aufnehmen, ist auf obenstehende Erwägungen zu verweisen, wonach ihm diese Probleme nicht geglaubt werden konnten. Seine Verletzungen stammen, wie vom SEM erwähnt, aus Kindheitstagen und haben sein wirtschaftliches Fortkommen bis anhin nicht erschwert. Zudem wurde die schmerzende Hand gemäss dem nachträglich zur Beschwerde eingereichten Arztbericht in der Schweiz behandelt und der Fremdkörper entfernt. Auch die weiteren Einschätzungen des SEM zum Gesundheitszustand des Beschwerdeführers sind zu bestätigen. Daran vermag auch der weitere nachträglich zur Beschwerde eingereichte Arztbericht nichts zu ändern. Zwar wird dort am Rand ein posttraumatisches Zustandsbild erwähnt, weitergehende Ausführungen werden hierzu aber nicht gemacht. Vielmehr wird die Psyche des Beschwerdeführers aktuell als stabil bezeichnet. Vor diesem Hintergrund ist nicht davon auszugehen, dass der Beschwerdeführer bei einer Rückkehr nach Sri Lanka in eine existenzbedrohende Situation geraten würde.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das Gesuch um Gewährung der unentgeltlichen Prozessführung mit Zwischenverfügung vom 23. November 2020 gutgeheissen wurde, sind jedoch keine Kosten aufzuerlegen. Mit derselben Zwischenverfügung wurde die rubrizierte Rechtsvertreterin als amtliche Rechtsbeiständin eingesetzt. Diese ist unbesehen des Ausgangs des Verfahrens zu entschädigen. Die Rechtsvertreterin reichte mit der Beschwerde eine Kostennote zu den Akten. Der darin ausgewiesene zeitliche Aufwand erscheint etwas überhöht und ist angemessen zu kürzen. Das Honorar ist demnach und unter Berücksichtigung des seither angefallenen Aufwandes auf insgesamt Fr. 1'650.-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