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D-5438/2013 vom 16. Oktober 2013</w:t>
      </w:r>
    </w:p>
    <w:p>
      <w:r>
        <w:t>Bundesverwaltungsgericht, 2013-10-16, DE</w:t>
      </w:r>
    </w:p>
    <w:p>
      <w:r>
        <w:rPr>
          <w:b/>
        </w:rPr>
        <w:t xml:space="preserve">Quelle: </w:t>
      </w:r>
      <w:r>
        <w:t>https://mcp.opencaselaw.ch/entscheid/bvger_D-5438_2013</w:t>
      </w:r>
    </w:p>
    <w:p>
      <w:r>
        <w:t>FR: TAF D-5438/2013 du 16 octobre 2013</w:t>
      </w:r>
    </w:p>
    <w:p>
      <w:r>
        <w:t>IT: TAF D-5438/2013 del 16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19 und 20 in der bisherigen Fassung gelten.</w:t>
      </w:r>
    </w:p>
    <w:p>
      <w:r>
        <w:rPr>
          <w:b/>
        </w:rPr>
        <w:t>E. 4.1</w:t>
      </w:r>
    </w:p>
    <w:p>
      <w:r>
        <w:t>Das Bundesamt bewilligt Asylsuchenden die Einreise in die Schweiz zur Abklärung des Sachverhalts, wenn ihnen nicht zugemutet werden kann, im Wohnsitz- oder Aufenthaltsstaat zu bleiben oder in ein anderes Land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5.1</w:t>
      </w:r>
    </w:p>
    <w:p>
      <w:r>
        <w:t>Das BFM führte zur Begründung seiner ablehnenden Verfügung zusammengefasst aus, die Beschwerdeführerin sei nicht schutzbedürftig, weil eine Anwendung von Art. 1 F Bst. b des Abkommens vom 28. Juli 1951 über die Rechtsstellung der Flüchtlinge (FK, SR 0.142.30) angemessen sei (mithin ernsthafte Gründe für den Verdacht bestehen würden, dass sie in Sri Lanka ein schweres Verbrechen des gemeinen Rechts begangen habe). Sie habe mit ihren Einsätzen an der Front und als Befehls­haberin von hundertfünfzig Kadern zum Bürgerkrieg und zu dessen Konsequenzen für die Bevölkerung beigetragen. Mit ihren langjährigen Aktivitäten für die LTTE trage sie eine direkte (Mit-)Verantwortung für die durch diese Bewegung im Laufe der Jahre verübten zahlreichen Straftaten, die im Kern als gemeinstrafrechtliche, gegen Leib und Leben gerichtete und nicht als politische Delikte zu qualifizieren seien. Sie sei ein langjähriges Mitglied gewesen und habe die Anwendung von Gewalt bewusst in Kauf genommen. Auch eine Güterabwägung zwischen der objektiven Verwerflichkeit ihrer Taten und ihrer subjektiven Schuld einerseits sowie ihrem Schutzinteresse vor einer ihr allenfalls drohenden Verfolgung im Heimatstaat andererseits vermöge vorliegend zu keinem anderen Resultat zu führen.</w:t>
      </w:r>
    </w:p>
    <w:p>
      <w:r>
        <w:rPr>
          <w:b/>
        </w:rPr>
        <w:t>E. 5.2</w:t>
      </w:r>
    </w:p>
    <w:p>
      <w:r>
        <w:t>Diese Begründung vermag mit Hinweis auf BVGE 2011/29 (vgl. auch Urteil des Bundesverwaltungsgerichts E-2118/2008 vom 29. Dezember 2011) auf den ersten Blick nicht zu überzeugen. Letztlich kann die Frage, ob im vorliegenden Fall die Anwendung von Art. 1 F Bst. b FK zu Recht erfolgte, jedoch offengelassen werden, da der Beschwerdeführerin aus dem in den nachfolgenden Erwägungen dargelegten Grund die Einreise in die Schweiz ohnehin nicht bewilligt werden kann.</w:t>
      </w:r>
    </w:p>
    <w:p>
      <w:r>
        <w:rPr>
          <w:b/>
        </w:rPr>
        <w:t>E. 6.1</w:t>
      </w:r>
    </w:p>
    <w:p>
      <w:r>
        <w:t>Gemäss Art. 53 AsylG wird Flüchtlingen kein Asyl gewährt, wenn sie wegen verwerflicher Handlungen dessen unwürdig sind oder wenn sie die innere oder die äussere Sicherheit der Schweiz verletzt haben oder gefährden.</w:t>
      </w:r>
    </w:p>
    <w:p>
      <w:r>
        <w:rPr>
          <w:b/>
        </w:rPr>
        <w:t>E. 6.2</w:t>
      </w:r>
    </w:p>
    <w:p>
      <w:r>
        <w:t>Nach konstanter Praxis gelten als "verwerfliche Handlungen" im Sinne von Art. 53 AsylG Straftaten, die dem abstrakten Verbrechensbegriff des Strafrechts entsprechen. Gemäss Art. 10 Abs. 2 des Schweizerischen Strafgesetzbuchs vom 21. Dezember 1937 (StGB, SR 311.0) sind Ver­bre­chen diejenigen Taten, die mit einer Freiheitsstrafe von mehr als drei Jahren bedroht sind (vgl. dazu beispielsweise das Urteil des Bundesverwaltungsgerichts E-6829/2007 vom 7. September 2011 E. 3.2 ff.). Dabei ist es irrelevant, ob die verwerfliche Handlung einen ausschliesslich gemeinrechtlichen Charakter hat oder als politisches Delikt aufzufassen ist (vgl. BVGE 2011/10 E. 6, BVGE 2011/29 E. 9.2.2).</w:t>
      </w:r>
    </w:p>
    <w:p>
      <w:r>
        <w:rPr>
          <w:b/>
        </w:rPr>
        <w:t>E. 6.3</w:t>
      </w:r>
    </w:p>
    <w:p>
      <w:r>
        <w:t>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Im Weiteren ver­mag die alleinige Tatsache einer Mitgliedschaft bei einer als extremistisch aufzufassenden Organisation nicht zur Folgerung der Asylunwürdigkeit zu führen.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2011/10 E. 6, BVGE 2011/29 E. 9.2.3 f., mit weiteren Hinweisen).</w:t>
      </w:r>
    </w:p>
    <w:p>
      <w:r>
        <w:rPr>
          <w:b/>
        </w:rPr>
        <w:t>E. 6.4</w:t>
      </w:r>
    </w:p>
    <w:p>
      <w:r>
        <w:t>Asylunwürdigen Personen, die sich im Ausland aufhalten, ist gemäss Praxis des Bundesverwaltungsgerichts die Einreise in die Schweiz zur Durchführung eines Asylverfahrens - trotz allfälligen Bestehens der Flüchtlingseigenschaft - nicht zu bewilligen (vgl. BVGE 2011/10 E. 7).</w:t>
      </w:r>
    </w:p>
    <w:p>
      <w:r>
        <w:rPr>
          <w:b/>
        </w:rPr>
        <w:t>E. 7.1</w:t>
      </w:r>
    </w:p>
    <w:p>
      <w:r>
        <w:t>Den Akten ist zu entnehmen, dass die Beschwerdeführerin von 1995 bis zur Niederschlagung der LTTE durch die sri-lankische Armee im Mai 2009 aktives Mitglied dieser Organisation war. Sie war unter anderem als Befehlshaberin von bis zu hundertfünfzig LTTE-Kadern an verschiedenen bewaffneten Auseinander­set­zungen mit der sri-lankischen Armee beteiligt. Nachdem sie im Kampf (Nennung Körperteil) verlor, beschäftigte sie sich mit Propaganda. Sie unterrichtete als Instruktorin unter anderem die "alten Kader" der LTTE-Brigaden darin, wie sie ihre Untergebenen einer Ge­hirn­wäsche unterziehen und deren Herzen für den Kampf gewinnen können (vgl. Akten BFM A 10/13 S. 4). Aufgrund dieser Tätigkeiten ist zu schliessen, dass sie sich mit den Zielen und Vorgehensweisen der LTTE voll identifizierte und die gewaltbereite Organisation in nicht zu unterschätzendem Aus­mass sowohl logistisch als auch militant unterstützte. Nach Ansicht des Gerichts bestehen demnach insgesamt gesehen hinreichende konkrete Anhaltspunkte dafür, dass die Beschwerdeführerin zugunsten der LTTE verwerfliche Handlungen im Sinne von Art. 53 AsylG begangen hat.</w:t>
      </w:r>
    </w:p>
    <w:p>
      <w:r>
        <w:rPr>
          <w:b/>
        </w:rPr>
        <w:t>E. 7.2</w:t>
      </w:r>
    </w:p>
    <w:p>
      <w:r>
        <w:t>Was die Verhältnismässigkeit des Ausschlusses vom Asyl angelangt, ist festzuhalten, dass die Beschwerdeführerin gemäss eigenen Aussagen der LTTE freiwillig beitrat, weil ihr Vater und zwei ihrer Onkel durch die sri-lankische Armee getötet wurden. Gegen sie spricht die Tatsache, dass sie über einen langen Zeitraum von vierzehn Jahren (in unterschiedlichsten Funktionen und mit unterschiedlichen Verantwortungen) bei den LTTE verblieb und sich bis zu deren Niederschlagung im Mai 2009 nicht von ihnen abwandte. Im Übrigen ist den Akten nicht zu entnehmen, dass sie sich zwischenzeitlich von den LTTE distanziert hätte. Die Tatsache, dass die Beschwerdeführerin kriegsversehrt ist, führt nicht zur Unverhältnismässigkeit des Asyl­aus­schlusses.</w:t>
      </w:r>
    </w:p>
    <w:p>
      <w:r>
        <w:rPr>
          <w:b/>
        </w:rPr>
        <w:t>E. 7.3</w:t>
      </w:r>
    </w:p>
    <w:p>
      <w:r>
        <w:t>Nach dem Gesagten ist festzuhalten, dass die Beschwerdeführerin asylunwürdig im Sinne von Art. 53 AsylG ist. Es erübrigt sich auf die Beschwerdevorbringen einzugehen, da sich diese nur auf mögliche Verfolgungsmassnahmen beziehen und nichts an der festgestellten Asylunwürdigkeit zu ändern vermögen. In diesem Sinne sind auch allfällige von der Beschwerdeführerin in Aussicht gestellte neue Beweismittel, die sich auf ihre Gefährdung beziehen würden, nicht abzuwarten. Das BFM hat der Beschwerdeführerin im Ergebnis zu Recht die Einreise in die Schweiz verweigert und ihr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grundsätzlich der Be­schwerdeführerin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