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D-5434/2021 vom 9. Juni 2022</w:t>
      </w:r>
    </w:p>
    <w:p>
      <w:r>
        <w:t>Bundesverwaltungsgericht, 2022-06-09, DE</w:t>
      </w:r>
    </w:p>
    <w:p>
      <w:r>
        <w:rPr>
          <w:b/>
        </w:rPr>
        <w:t xml:space="preserve">Quelle: </w:t>
      </w:r>
      <w:r>
        <w:t>https://mcp.opencaselaw.ch/entscheid/bvger_D-5434_2021</w:t>
      </w:r>
    </w:p>
    <w:p>
      <w:r>
        <w:t>FR: TAF D-5434/2021 du 9 juin 2022</w:t>
      </w:r>
    </w:p>
    <w:p>
      <w:r>
        <w:t>IT: TAF D-5434/2021 del 9 giugno 2022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die Aufhebung der Verfügung in Bezug auf die Beschwerdeführenden A._______, C._______ und D._______ beantragt wird.</w:t>
      </w:r>
    </w:p>
    <w:p>
      <w:r>
        <w:rPr>
          <w:b/>
        </w:rPr>
        <w:t>E. 2</w:t>
      </w:r>
    </w:p>
    <w:p>
      <w:r>
        <w:t>Die Verfügung vom 12. November 2021 wird aufgehoben, soweit sie nicht bereits gegenstandslos geworden ist, und die Sache wird im Sinne der Erwägungen an die Vorinstanz zurückgewiesen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Es wird keine Parteientschädigung ausgerichtet.</w:t>
      </w:r>
    </w:p>
    <w:p>
      <w:r>
        <w:rPr>
          <w:b/>
        </w:rPr>
        <w:t>E. 5</w:t>
      </w:r>
    </w:p>
    <w:p>
      <w:r>
        <w:t>Dieses Urteil geht an die Beschwerdeführenden, das SEM und die kantonale Migrationsbehörde. Der Einzelrichter: Die Gerichtsschreiberin: Thomas Segessenmann Mareile Lettau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