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D-5425/2008 vom 13. Juli 2009</w:t>
      </w:r>
    </w:p>
    <w:p>
      <w:r>
        <w:t>Bundesverwaltungsgericht, 2009-07-13, FR</w:t>
      </w:r>
    </w:p>
    <w:p>
      <w:r>
        <w:rPr>
          <w:b/>
        </w:rPr>
        <w:t xml:space="preserve">Quelle: </w:t>
      </w:r>
      <w:r>
        <w:t>https://mcp.opencaselaw.ch/entscheid/bvger_D-5425_2008</w:t>
      </w:r>
    </w:p>
    <w:p>
      <w:r>
        <w:t>FR: TAF D-5425/2008 du 13 juillet 2009</w:t>
      </w:r>
    </w:p>
    <w:p>
      <w:r>
        <w:t>IT: TAF D-5425/2008 del 13 luglio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Les recourants ont qualité pour recourir (art. 48 al. 1 PA, applicable par renvoi de l'art. 37 LTAF) et leur mandataire, au bénéfice d'une procuration écrite, les représente légitimement. Interjeté dans la forme et les délais prescrits par la loi (art. 52 PA, par renvoi de l'art. 6 LAsi et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l'espèce, les intéressés ont allégué avoir été victimes de violences, de mesures d'intimidation et de menaces de la part de membres de la communauté albanaise, en raison de leur appartenance à la minorité torbe et de la profession et carrière de deux membres de la famille du recourant. Ils auraient toutefois renoncé à porter plainte, par crainte de représailles. Ils contestent, dans leur mémoire de recours que les autorités du Kosovo ou la MINUK auraient pu leur offrir une protection adéquate, relevant que le Kosovo n'aurait d'ailleurs pas signé ni ratifié la Convention du 4 novembre 1950 de sauvegarde des droits de l'homme et des libertés fondamentales (CEDH, RS 0.101), invoquant également le fait que la grande majorité des membres de la famille de l'intéressé avaient dû s'exiler, citant les noms de quarante-sept personnes portant le même patronyme, ainsi que leur pays de séjour.</w:t>
      </w:r>
    </w:p>
    <w:p>
      <w:r>
        <w:rPr>
          <w:b/>
        </w:rPr>
        <w:t>E. 3.2</w:t>
      </w:r>
    </w:p>
    <w:p>
      <w:r>
        <w:t>De par la jurisprudence, il convient d'imputer à l'Etat le comportement non seulement d'agents étatiques,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il n'existe pas de persécution déterminante en matière d'asile, lorsque l'Etat offre une protection. En effet, selon le principe de la subsidiarité de la protection internationale par rapport à la protection nationale, l'on peut exiger d'un requérant d'asile qu'il épuise dans son propre pays les possibilités de protection contre d'éventuelles persécutions avant de solliciter celle d'un Etat tiers (cf. à ce propos JICRA 2006 n° 18 consid. 10.1 p. 201 et JICRA 2000 n° 15 p. 107ss, spéc. consid. 7). Il convient donc d'examiner, en l'espèce, si les recourants peuvent bénéficier, au Kosovo, d'un accès concret à des structures efficaces de protection et s'il peut être raisonnablement exigé d'eux qu'ils fassent appel à ce système de protection interne (cf. JICRA 2006 n° 18 consid. 10.3 p. 203s.).</w:t>
      </w:r>
    </w:p>
    <w:p>
      <w:r>
        <w:rPr>
          <w:b/>
        </w:rPr>
        <w:t>E. 3.3</w:t>
      </w:r>
    </w:p>
    <w:p>
      <w:r>
        <w:t>De manière générale, selon la jurisprudence du Tribunal, qui a repris sur ce point celle de la Commission, la MINUK et la KFOR ont la volonté et la capacité de protéger les minorités ethniques au Kosovo et il n'existe aucune persécution systématique de celles-ci (cf. notamment l'arrêt du Tribunal D-4618/2007 du 13 juillet 2007 et l'arrêt du Tribunal D-3844/2006 du 27 août 2007, qui renvoient à la JICRA 2002 n° 22 consid. 4d/aa p. 180). Cette jurisprudence est toujours d'actualité, même après la déclaration unilatérale d'indépendance du Kosovo du 17 février 2008. La volonté et la capacité des autorités policières et judiciaires de la nouvelle République de prévenir la survenance de persécutions ne peuvent, pour leur part, être déniées. Ces autorités ne renoncent pas à poursuivre les auteurs d'actes pénalement répréhensibles - tels qu'en l'occurrence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w:t>
      </w:r>
    </w:p>
    <w:p>
      <w:r>
        <w:rPr>
          <w:b/>
        </w:rPr>
        <w:t>E. 3.4</w:t>
      </w:r>
    </w:p>
    <w:p>
      <w:r>
        <w:t>Dès lors que la capacité et la volonté des autorités de prévenir la survenance d'exactions telles que celles alléguées par les recourants ne peuvent être déniées, rien n'indique que ceux-ci ne pouvaient pas solliciter la protection des autorités locales pour se prémunir contre les agissements dont ils se sont dits victimes. N'ayant pas dénoncé ces préjudices aux dites autorités, ils ne sauraient invoquer utilement l'inefficacité, voire la passivité de celles-ci. La liste des membres de leur famille s'étant expatriés ne modifie pas cette appréciation, dès lors que chaque situation fait l'objet d'un examen individuel. La même conclusion est retenue à l'égard des autres documents versés à l'appui de leur recours. Concernant en particulier le communiqué de presse du 25 juillet 2008, du Service d'information des Nations Unies, il y a lieu de relever que s'il remet en cause la capacité de la MINUK d'effectuer la plupart de ses tâches liées au pouvoir exécutif (gouvernement) et à l'action dans le domaine économique, en raison des mesures prises par les autorités de Pristina et les Serbes du Kosovo, ledit document cite l'exception du maintien de l'ordre, domaine dans lequel il existerait encore des outils et qui serait dès lors devenu le centre des activités de la MINUK, citant en particulier la protection des droits des communautés. Ainsi, même à défaut de protection obtenue par les autorités kosovares, les recourants avaient sans nul doute la possibilité d'obtenir une protection efficace de la MINUK et/ou de la KFOR. Ces circonstances excluent la reconnaissance de la qualité de réfugié.</w:t>
      </w:r>
    </w:p>
    <w:p>
      <w:r>
        <w:rPr>
          <w:b/>
        </w:rPr>
        <w:t>E. 3.5</w:t>
      </w:r>
    </w:p>
    <w:p>
      <w:r>
        <w:t>En outre, la seule appartenance à la minorité torbe ne constitue pas un motif suffisant pour se voir reconnaître la qualité de réfugié au sens de l'art. 3 LAsi.</w:t>
      </w:r>
    </w:p>
    <w:p>
      <w:r>
        <w:rPr>
          <w:b/>
        </w:rPr>
        <w:t>E. 3.6</w:t>
      </w:r>
    </w:p>
    <w:p>
      <w:r>
        <w:t>A titre superfétatoire, on peut encore relever le caractère inconsistant, imprécis (y compris sur les dates) et invraisemblable des motifs d'asile invoqués (cf. art. 7 LAsi). Les intéressés ont en particulier été incapables d'indiquer de qui pouvait émaner l'espionnage et les menaces proférées à leur encontre et quels en auraient été les motifs. Leurs propos sont particulièrement évasifs sur la source d'information - un cousin - et ses renseignements sur les menaces de viol, d'enlèvement, respectivement de mort (cf. pv. aud. du recourant du 5 février 2008 p. 6).</w:t>
      </w:r>
    </w:p>
    <w:p>
      <w:r>
        <w:rPr>
          <w:b/>
        </w:rPr>
        <w:t>E. 3.7</w:t>
      </w:r>
    </w:p>
    <w:p>
      <w:r>
        <w:t>Il s'ensuit que le recours, en tant qu'il porte sur l'asile et la reconnaissance de la qualité de réfugié, doit être rejeté et le dispositif de la décision attaquée confirmé sur ce point.</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Aux termes de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4.3</w:t>
      </w:r>
    </w:p>
    <w:p>
      <w:r>
        <w:t>Aucune exception à la règle générale du renvoi n'étant réalisée en l'espèce, en l'absence notamment d'un droit des recourants à une autorisation de séjour ou d'établissement, le Tribunal est tenu, de par la loi, de confirmer le renvoi (cf. JICRA 2001 n° 21 p. 168ss).</w:t>
      </w:r>
    </w:p>
    <w:p>
      <w:r>
        <w:rPr>
          <w:b/>
        </w:rPr>
        <w:t>E. 5</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CEDH et 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6.2</w:t>
      </w:r>
    </w:p>
    <w:p>
      <w:r>
        <w:t>En l'espèce, au vu des considérants ci-dessus sur la question de la qualité de réfugié et de l'asile, les recourants ne peuvent invoquer le principe de non-refoulement dans la mesure où ils ne se sont pas vu reconnaître la qualité de réfugié et où ils n'ont pas démontré qu'il existerait pour eux personnellement un risque concret et sérieux d'être victimes, en cas de retour dans leur pays d'origine, de traitements inhumains ou dégradants. Dès lors, l'exécution de leur renvoi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7.2</w:t>
      </w:r>
    </w:p>
    <w:p>
      <w:r>
        <w:t>En l'occurrence, le Tribunal ne saurait admettre que la situation actuelle prévalant au Kosovo est en soi constitutive d'un empêchement à la réinstallation des recourants. En effet, il est notoire que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44 al. 2 LAsi et de l'art. 83 al. 4 LEtr. En outre, par décision du 1er avril 2009, le Conseil fédéral a désigné cet Etat comme étant un pays sûr (safe country), au sens de l'art. 6a al. 2 let. a LAsi. Dès lors, l'exécution du renvoi de l'intéressé est, sous cet angle, raisonnablement exigible.</w:t>
      </w:r>
    </w:p>
    <w:p>
      <w:r>
        <w:rPr>
          <w:b/>
        </w:rPr>
        <w:t>E. 7.3</w:t>
      </w:r>
    </w:p>
    <w:p>
      <w:r>
        <w:t>Il s'agit dès lors de déterminer si, au vu de la situation personnelle des intéressés, l'exécution de leur renvoi est raisonnablement exigible.</w:t>
      </w:r>
    </w:p>
    <w:p>
      <w:r>
        <w:rPr>
          <w:b/>
        </w:rPr>
        <w:t>E. 7.4</w:t>
      </w:r>
    </w:p>
    <w:p>
      <w:r>
        <w:t>Les recourants appartiennent à la minorité torbe, soit une minorité de musulmans slaves originaires du Kosovo, comme également les Bosniaques et les Gorani. Selon la jurisprudence du Tribunal, reprenant celle de la Commission suisse de recours en matière d'asile (la Commission), cette minorité a, de manière générale, toujours été traitée avec plus de tolérance que les minorités rom, ashkali et égyptienne ou que les Serbes du Kosovo. Or, selon la JICRA 2006 n° 10 et l'ATAF 2007/10, l'exécution du renvoi de ressortissants rom, ashkali et égyptiens est, en règle générale et à des conditions déterminées, raisonnablement exigible. L'exécution du renvoi des musulmans slaves originaires du Kosovo, en particulier des Torbes, est, en principe, licite et raisonnablement exigible, lorsque ceux-ci ont eu leur dernier domicile dans les circonscriptions de Dragash, Prizren, Gjakove et Pej avant leur départ du pays (cf. JICRA 2002 n° 22 p. 177ss). Cette jurisprudence est toujours d'actualité. La situation des musulmans serbophones s'est même améliorée après la publication de cet arrêt, au point qu'aujourd'hui l'exécution du renvoi est raisonnablement exigible sur tout le territoire du Kosovo, à l'exception de la région de Mitrovica, moyennant l'examen individuel d'éléments déterminés, tels que l'existence d'une formation professionnelle, la présence d'un réseau social, d'une structure d'aide, d'un éventuel risque de représailles en cas de collaboration passée avec les Serbes (cf. arrêt du Tribunal D-6556/2006 du 25 août 2008 consid. 4.4 p. 9s.). En l'espèce, les recourants viennent d'un village appartenant à la circonscription de Prizren, laquelle offre des conditions de sécurité suffisantes et dispose d'infrastructures médicales capables de prendre en charge les problèmes de santé évoqués. En outre, Prizren est un lieu important de sédentarisation des communautés bosniaques au Kosovo.</w:t>
      </w:r>
    </w:p>
    <w:p>
      <w:r>
        <w:rPr>
          <w:b/>
        </w:rPr>
        <w:t>E. 7.5</w:t>
      </w:r>
    </w:p>
    <w:p>
      <w:r>
        <w:t>Le Tribunal considère que les problèmes psychologiques de la recourante, bien que d'une certaine importance, ne sont pas d'une gravité telle qu'ils seraient de nature à faire obstacle à l'exécution de son renvoi. Ils pourront en outre être traités dans son pays d'origine. En effet, selon les renseignements au dossier (cf. rapports médicaux des 29 juillet 2008, 4 novembre 2008 et 6 mars 2009), l'intéressée souffre de troubles anxio-dépressifs mixtes (F41.2), ainsi que d'expérience de catastrophe, de guerre et d'autres hostilités (Z65.5), qui ne sont pas de graves affections. Si durant sa grossesse et en raison de la suspension de son traitement médicamenteux, son état psychique s'est péjoré, elle n'a toutefois jamais eu besoin d'un traitement lourd en milieu hospitalier. En outre, depuis la naissance de son enfant et la mise en place d'un nouveau traitement médicamenteux formé d'un antidépresseur végétal (ReBalance), de tranquilisants et d'un somnifère, son état psychique s'est stabilisé. La persistance de certains symptômes anxieux (anxiété, cauchemars, crainte pour la vie de son mari et de ses enfants, peur de sortir seule) ne met pas en danger sa vie ou son intégrité et est notamment liée à la gestion du quotidien, en particulier de ses deux enfants en bas âge. Les médecins spécialistes ne prévoient pas une chronification du trouble dès lors qu'ils estiment la durée du traitement de six mois à un an. Le traitement est complété par des consultations sous forme de psychothérapie, toutes les trois semaines, soit des échéances assez éloignées. Ainsi, en l'état actuel, il n'apparaît manifestement pas que les troubles dont souffre la recourante soient de nature à mettre sa vie ou sa santé concrètement en danger à brève échéance, en cas de retour au Kosovo. Les risques suicidaires allégués, en cas d'interruption du traitement médicamenteux, ne sont pas élaborés, mais sont évoqués sommairement et restent purement hypothétique. Ils pourront en tout état de cause être évités par une préparation au retour adéquate de la part des thérapeutes. Par ailleurs, sur la base des informations à disposition du Tribunal relatives aux moyens de traitement des maladies psychiques au Kosovo, les médicaments indispensables devraient pouvoir être obtenus par l'intéressée sur place, en tous les cas sous leur forme générique, à ceci près que leur gratuité n'est pas assurée. Si le suivi psychothérapeutique sera plus difficile à mettre en place, la recourante pourra toutefois compter sur le soutien de son époux et d'un réseau familial étendu - dont certains membres sont encore domiciliés à E._______ -, en particulier les parents et un frère de son époux, ainsi que ses propres parents, une soeur et un frère âgé d'environ 23 ou 24 ans (cf. pv. aud. du recourant du 28 janvier 2008 p. 3 ; pv. aud. de la recourante du 28 janvier 2008 p. 3). Il ne fait par ailleurs aucun doute que les nombreux membres de leur famille, domiciliés à l'étranger et en Suisse pourront, dans un premier temps, soutenir la réinstallation des intéressés au Kosovo, lesquels ont déjà réuni quelque 8'000 Euros pour leur voyage jusqu'en Suisse (cf. pv. aud. du recourant du 28 janvier 2008 p. 6).</w:t>
      </w:r>
    </w:p>
    <w:p>
      <w:r>
        <w:rPr>
          <w:b/>
        </w:rPr>
        <w:t>E. 7.6</w:t>
      </w:r>
    </w:p>
    <w:p>
      <w:r>
        <w:t>En outre, concernant la question du bien de l'enfant, les enfants des recourants se trouvent encore à un âge où les relations essentielles se vivent dans le giron familial et ils ne sont restés en Suisse qu'un peu moins d'une année et demi. Ils sont ainsi fortement imprégnés de la culture et du mode de vie de leurs parents, n'ayant au demeurant pas passé dans leur pays d'accueil cette période essentielle qu'est l'adolescence et l'entrée dans la vie adulte. Il n'est donc pas possible d'admettre que leur vécu en Suisse les ait fortement et durablement imprégnés du mode de vie et du contexte culturel helvétique (cf. notamment arrêt du Tribunal D-6306/2006 du 9 juillet 2008, consid. 7.4.3).</w:t>
      </w:r>
    </w:p>
    <w:p>
      <w:r>
        <w:rPr>
          <w:b/>
        </w:rPr>
        <w:t>E. 7.7</w:t>
      </w:r>
    </w:p>
    <w:p>
      <w:r>
        <w:t>Les intéressés sont jeunes et l'époux dispose d'une expérience professionnelle d'environ huit ans dans le bâtiment (cf. pv. aud. du recourant du 28 janvier 2008 p. 2). Il a en outre indiqué pouvoir obtenir du travail auprès d'un cousin (cf. pv. aud. du recourant du 5 février 2009 p. 3). Au surplus, ils auront la possibilité, en cas de besoin, de présenter à l'ODM une demande d'aide au retour au sens des art. 93 LAsi et 73ss de l'ordonnance 2 du 11 août 1999 sur l'asile relative au financement (OA 2, RS 142.312), en vue notamment de faciliter leur réinstallation.</w:t>
      </w:r>
    </w:p>
    <w:p>
      <w:r>
        <w:rPr>
          <w:b/>
        </w:rPr>
        <w:t>E. 7.8</w:t>
      </w:r>
    </w:p>
    <w:p>
      <w:r>
        <w:t>Pour ces motifs et en l'absence d'autres éléments susceptibles de s'opposer au renvoi de Suisse, l'exécution de cette mesure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 (art. 83 al. 2 LEtr).</w:t>
      </w:r>
    </w:p>
    <w:p>
      <w:r>
        <w:rPr>
          <w:b/>
        </w:rPr>
        <w:t>E. 9</w:t>
      </w:r>
    </w:p>
    <w:p>
      <w:r>
        <w:t>Au vu de ce qui précède, la décision de l'ODM portant sur le renvoi et l'exécution de cette mesure est conforme aux dispositions légales précitées. Il s'ensuit que le recours doit être également rejeté, en tant qu'il conteste ces points.</w:t>
      </w:r>
    </w:p>
    <w:p>
      <w:r>
        <w:rPr>
          <w:b/>
        </w:rPr>
        <w:t>E. 10</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Ce montant doit être compensé avec l'avance de frais du même montant déjà versée.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