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D-5422/2011 vom 24. Februar 2012</w:t>
      </w:r>
    </w:p>
    <w:p>
      <w:r>
        <w:t>Bundesverwaltungsgericht, 2012-02-24, DE</w:t>
      </w:r>
    </w:p>
    <w:p>
      <w:r>
        <w:rPr>
          <w:b/>
        </w:rPr>
        <w:t xml:space="preserve">Quelle: </w:t>
      </w:r>
      <w:r>
        <w:t>https://mcp.opencaselaw.ch/entscheid/bvger_D-5422_2011</w:t>
      </w:r>
    </w:p>
    <w:p>
      <w:r>
        <w:t>FR: TAF D-5422/2011 du 24 février 2012</w:t>
      </w:r>
    </w:p>
    <w:p>
      <w:r>
        <w:t>IT: TAF D-5422/2011 del 24 febbraio 2012</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nachträglich erfahrener erheblicher Tatsachen und nachträglich aufgefundener entscheidender Beweismittel (Art. 123 Abs. 2 Bst. a BGG) geltend und zeigt ausserdem (implizit) die Rechtzeitigkeit des Revisionsbegehrens auf.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w:t>
      </w:r>
    </w:p>
    <w:p>
      <w:r>
        <w:rPr>
          <w:b/>
        </w:rPr>
        <w:t>E. 3.3</w:t>
      </w:r>
    </w:p>
    <w:p>
      <w:r>
        <w:t>Der Gesuchsteller führt zur Begründung seines Revisionsgesuches an, er sei in seinem Heimatland im Jahr 2010 zu einer Freiheitsstrafe verurteilt worden. Angesichts des zwischenzeitlich eingereichten Gerichtsurteils vom 14. Februar 2010 handelt es sich offensichtlich nicht um eine nach Abschluss des beziehungsweise der ordentlichen Verfahren entstandene Tatsache oder entstandenes Beweismittel. Der Gesuchsteller erwähnte denn die Verurteilung auch bereits im zweiten Asylverfahren (vgl. Akten BFM B 1/9 S. 5). Allerdings erachtete das BFM - und mit ihm das Bundesverwaltungsgericht - das Vorbringen als unglaubhaft. Es stellt sich demnach die Frage, ob es dem Gesuchsteller bei Anwendung der zumutbaren Sorgfalt und in Beachtung der ihm obliegenden Mitwirkungspflicht nach Art. 8 AsylG zumutbar gewesen wäre, das entsprechende Beweismittel - nämlich das Urteil vom 14. Februar 2010 - bereits im Rahmen der früheren Verfahren einzureichen (vgl. Art. 123 Abs. 2 Bst. a BGG). Zwar bestehen keine Anzeichen für die Unmöglichkeit einer früheren Einreichung, doch braucht diese Frage vorliegend wie im Übrigen auch die Frage, ob das vorgelegte Urteil echt ist, nicht abschliessend beantwortet zu werden, da sich das Beweismittel - wie nachfolgend aufgezeigt wird - ohnehin als unerheblich erweist.</w:t>
      </w:r>
    </w:p>
    <w:p>
      <w:r>
        <w:rPr>
          <w:b/>
        </w:rPr>
        <w:t>E. 3.4</w:t>
      </w:r>
    </w:p>
    <w:p>
      <w:r>
        <w:t>Gemäss Praxis des Bundesverwaltungsgerichts stellt eine strafrechtliche Verfolgung respektive die Verurteilung wegen eines gemeinrechtlichen Delikts grundsätzlich keine flüchtlingsrechtlich relevante Verfolgung dar dies ist nur ausnahmsweise der Fall und zwar, wenn einer Person eine gemeinrechtliche Tat untergeschoben wird, um sie aus einem asylrelevanten Motiv zu verfolgen, oder wenn die Situation eines Täters, der ein gemeinrechtliches Delikt tatsächlich begangen hat, aus einem asylrelevanten Motiv erheblich erschwert wird. In diesen Fällen spricht man von einem sogenannten Politmalus. Ein solcher liegt in der Regel insbesondere dann vor, wenn im konkreten Fall eine unverhältnismässig hohe Strafe ausgefällt wird, das Strafverfahren rechtsstaatlichen Ansprüchen klarerweise nicht zu genügen vermag (beispielsweise weil dem Angeklagten elementare Verfahrensrechte vorenthalten werden) oder der asylsuchenden Person in der Form der Strafe oder im Rahmen der Strafverbüssung eine Verletzung fundamentaler Menschenrechte, namentlich Folter, droht (vgl. zum Ganzen Entscheidungen und Mitteilungen der [vormaligen] Schweizerischen Asylrekurskommission [EMARK] 1996 Nr. 29 E. 2g, EMARK 1996 Nr. 34 E. 3, Urteile des Bundesverwaltungsgerichts E-4286/2008 vom 17. Oktober 2008 E. 4.4 und D-3417/2009 vom 24. Juni 2010 E. 4.5 sowie D-3027/2011 vom 11. August 2011 E. 6.2). Der vom Gesuchsteller eingereichten Übersetzung des Urteils des "Tribunal de F._______" vom 14. Februar 2010 ist zu entnehmen, dass er gestützt auf die Artikel 296 und 298 des algerischen Strafgesetzbuches wegen Diffamierung zu einer Haftstrafe von zwei Monaten sowie zu einer Busse von 25'000 algerischen Dinar (je ohne Bewährung) verurteilt wurde. Als Tathandlung wurde dem Gesuchsteller vorgeworfen, in der Ausgabe der Zeitschrift "(...)" vom 21. April 2009 Korruptionsunterstellungen gegen den Geschädigten veröffentlicht zu haben. Inwiefern diese Verurteilung in verfahrensrechtlicher oder in materieller Hinsicht die vorstehend genannte Voraussetzung für eine asylrechtlich relevante Strafverfolgung erfüllen würde, wird weder vom Gesuchsteller dargetan noch ist dies aufgrund der Aktenlage ersichtlich. Zum einen ist aufgrund der Strafandrohung von Art. 298 des algerischen Code pénale (Abs. 1: Haft von 5 Tagen bis 6 Monaten und/oder eine Busse von 5'000 bis 50'000 algerische Dinar, Abs. 2 [im Falle der qualifizierten Tatbegehung]: Haft von 1 Monat bis zu 1 Jahr und/oder Busse von 10'000 bis 100'000 algerischer Dinar) ein Politmalus nicht offensichtlich. Zum anderen ist darauf hinzuweisen, dass auch in der Schweiz entsprechende Strafnormen bestehen (Art. 173 [üble Nachrede] und Art. 174 [Verleumdung] des Schweizerischen Strafgesetzbuchs vom 21. Dezember 1937 [StGB, SR 311.0]). Lediglich der Vollständigkeit halber bleibt anzumerken, dass die Behauptung des Gesuchstellers, zu zwei Jahren Freiheitsstrafe verurteilt worden zu sein (vgl. Revisionseingabe S. 2) - anstelle der im eingereichten Urteil aufgeführten zwei Monate - kein gutes Licht auf seine persönliche Glaubwürdigkeit wirft. Bei dieser Sachlage erübrigt es sich, auf die weiteren Beweismittel einzugehen, da sie am Ergebnis nichts zu ändern vermögen.</w:t>
      </w:r>
    </w:p>
    <w:p>
      <w:r>
        <w:rPr>
          <w:b/>
        </w:rPr>
        <w:t>E. 4</w:t>
      </w:r>
    </w:p>
    <w:p>
      <w:r>
        <w:t>Zusammenfassend ergibt sich damit, dass keine revisionsrechtlich relevanten Gründe dargetan sind. Das Gesuch um Revision des Urteils des Bundesverwaltungsgerichts vom 24. August 2011 ist demzufolge abzuweisen.</w:t>
      </w:r>
    </w:p>
    <w:p>
      <w:r>
        <w:rPr>
          <w:b/>
        </w:rPr>
        <w:t>E. 5</w:t>
      </w:r>
    </w:p>
    <w:p>
      <w:r>
        <w:t>Bei diesem Ausgang des Verfahrens sind die Kosten von Fr. 1'200.-- dem Gesuchsteller aufzuerlegen (Art. 37 VGG; Art. 63 Abs. 1 und 5 VwVG i.V.m. Art. 68 Abs. 2 VwVG; Art. 1 - 3 des Reglements vom 21. Februar 2008 über die Kosten und Entschädigungen vor dem Bundesverwaltungsgericht [VGKE, SR 173.320.2]) und mit dem am 19. Oktober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