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D-5421/2010 vom 13. Dezember 2012</w:t>
      </w:r>
    </w:p>
    <w:p>
      <w:r>
        <w:t>Bundesverwaltungsgericht, 2012-12-13, DE</w:t>
      </w:r>
    </w:p>
    <w:p>
      <w:r>
        <w:rPr>
          <w:b/>
        </w:rPr>
        <w:t xml:space="preserve">Quelle: </w:t>
      </w:r>
      <w:r>
        <w:t>https://mcp.opencaselaw.ch/entscheid/bvger_D-5421_2010</w:t>
      </w:r>
    </w:p>
    <w:p>
      <w:r>
        <w:t>FR: TAF D-5421/2010 du 13 décembre 2012</w:t>
      </w:r>
    </w:p>
    <w:p>
      <w:r>
        <w:t>IT: TAF D-5421/2010 del 13 dicembre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Personen, gegen die ein Auslieferungsersuchen des Staates vorliegt, vor welchem sie Schutz ersuchen (Art. 105 AsylG; Art. 83 Bst. d Ziff. 1 des Bundesgerichtsgesetzes vom 17. Juni 2005 [BGG, SR 173.110]). Eine solche Ausnahme im Sinne von Art. 83 Bst. d Ziff. 1 BGG liegt nicht vor. Das Bundesverwaltungsgericht ist daher zuständig für die Beurteilung der vorliegenden Beschwerde.</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eines Schriftenwechsels verzichten (Art. 111a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(vgl. BVGE 2011/9 E. 5 S. 116).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 Auf die Anträge auf Feststellung der Flüchtlingseigenschaft und Gewährung von Asyl ist somit nicht einzutreten.</w:t>
      </w:r>
    </w:p>
    <w:p>
      <w:r>
        <w:rPr>
          <w:b/>
        </w:rPr>
        <w:t>E. 2.2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2.3</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BVGE 2009/53 E. 4.2 S. 769; EMARK 2005 Nr. 2 E. 4.3 S. 17).</w:t>
      </w:r>
    </w:p>
    <w:p>
      <w:r>
        <w:rPr>
          <w:b/>
        </w:rPr>
        <w:t>E. 3.1</w:t>
      </w:r>
    </w:p>
    <w:p>
      <w:r>
        <w:t>Den Akten zufolge reichte der Beschwerdeführer am 19. Oktober 1998 sowie ein weiteres Mal am 7. Mai 2003 Asylgesuche in der Schweiz ein. Diese wurden mit Verfügungen des Bundesamtes vom 21. Juli 1999 und 18. Mai 2004 jeweils abgelehnt und erwuchsen unangefochten respektive mit Urteil des Bundesverwaltungsgerichts vom 1. Oktober 2007 in Rechtskraft. Damit steht fest, dass der Beschwerdeführer in der Schweiz bereits Asylverfahren erfolglos durchlaufen hat.</w:t>
      </w:r>
    </w:p>
    <w:p>
      <w:r>
        <w:rPr>
          <w:b/>
        </w:rPr>
        <w:t>E. 3.2</w:t>
      </w:r>
    </w:p>
    <w:p>
      <w:r>
        <w:t>Das BFM führte zur Begründung seines Entscheides vom 19. Juli 2010 im Wesentlichen aus, die Ereignisse, welche der Beschwerdeführer für den Zeitraum nach Abschluss des zweiten Verfahrens geltend mache, knüpften an Vorbringen aus den vorangegangenen Asylgesuchen an. Zwar handle es sich dabei um Vorfälle, die sich erst nach der Rückkehr der Familie des Beschwerdeführers in ihre Heimat ereignet haben sollen, deren Ursache jedoch unmittelbar auf ein Vorkommnis zurückzuführen sei, das bereits Gegenstand des zweiten Verfahrens gebildet habe. Dabei sei das Bundesamt zum Schluss gekommen, dass die von der Familie damals geltend gemachten Vorbringen den Anforderungen an die Flüchtlingseigenschaft nicht genügten. Folglich seien die diesbezüglichen vom Beschwerdeführer geltend gemachten Vorbringen weder geeignet, die Flüchtlingseigenschaft zu begründen, noch für die Gewährung vorübergehenden Schutzes relevant. Diese Erwägungen würden durch seine stereotyp und allgemein ausgefallenen Aussagen bestätigt. Erfahrungsgemäss könnten tatsächlich Verfolgte detailliert über ihre Erlebnisse und ihre Tätigkeiten berichten. Dies hätte auch vom Beschwerdeführer erwartet werden dürfen. Gesamthaft erschöpften sich seine Aussagen im Zusammenhang mit den behaupteten Problemen in Allgemeinplätzen, die in dieser Form ohne weiteres von irgendjemand nacherzählt werden könnten. Die geltend gemachten schwierigen Lebensbedingungen müssten als Nachteile, welche auf die allgemeinen politischen, wirtschaftlichen oder sozialen Lebensbedingungen in einem Staat zurückzuführen seien, angesehen werden. Es gelinge dem Beschwerdeführer somit in Würdigung der zu beurteilenden Aktenlage nicht, Vorbringen geltend zu machen, die für die Anerkennung der Flüchtlingseigenschaft relevant seien.</w:t>
      </w:r>
    </w:p>
    <w:p>
      <w:r>
        <w:rPr>
          <w:b/>
        </w:rPr>
        <w:t>E. 3.3</w:t>
      </w:r>
    </w:p>
    <w:p>
      <w:r>
        <w:t>Demgegenüber brachte der Beschwerdeführer in seiner Rechtsmitteleingabe vor, die Vorinstanz habe den Anspruch auf Wiedererwägung verletzt. So hätte die Vorinstanz seine Vorbringen im Rahmen eines Wiedererwägungsgesuchs an die Hand nehmen sollen. Zwar sei die Wiedererwägung ein gesetzlich nicht geregelter Rechtsbehelf, aber es bestehe auf dessen Behandlung durch die verfügende Behörde aus Art. 29 der Bundesverfassung der Schweizerischen Eidgenossenschaft vom 18. April 1999 (BV, SR 101) unter bestimmten Voraussetzungen ein verfassungsmässiger Anspruch. Diese Voraussetzungen seien in casu erfüllt. Im Weiteren verwies der Beschwerdeführer im Wesentlichen auf die bereits erwähnten Probleme in seinem Herkunftsort wegen ihrer Familiengeschichte.</w:t>
      </w:r>
    </w:p>
    <w:p>
      <w:r>
        <w:rPr>
          <w:b/>
        </w:rPr>
        <w:t>E. 3.4.1</w:t>
      </w:r>
    </w:p>
    <w:p>
      <w:r>
        <w:t>Nach Prüfung der Akten gelangt das Bundesverwaltungsgericht zum Schluss, dass das BFM in seiner Verfügung vom 19. Juli 2010 zu Recht das Vorliegen von Ereignissen im Sinne von Art. 32 Abs. 2 Bst. e AsylG verneint hat.</w:t>
      </w:r>
    </w:p>
    <w:p>
      <w:r>
        <w:rPr>
          <w:b/>
        </w:rPr>
        <w:t>E. 3.4.2</w:t>
      </w:r>
    </w:p>
    <w:p>
      <w:r>
        <w:t>Soweit der Beschwerdeführer eine Verletzung des Anspruchs auf Wiedererwägung rügt, da die Vorinstanz seine Vorbringen im Rahmen eines Wiedererwägungsgesuchs hätte an die Hand nehmen sollen, ist vorweg festzuhalten, dass die Auffassung des Beschwerdeführers (bzw. seiner Rechtsvertreterin) betreffend die Qualifikation seiner Vorbringen als Wiedererwägungsgründe, des somit sich ergebenden Prozedurtyps eines Wiedererwägungsgesuchs und der daraus sich weiter ergebenden Zuständigkeit des BFM, als unzutreffend erweisen. Zwar können Revisions-gründe einen qualifizierten Anspruch auf Wiedererwägung durch das BFM begründen. Voraussetzung hierfür ist aber, dass sich diese Revisi­onsgründe (vorliegend neue und erhebliche Tatsachen und Beweismittel) auf eine in materielle Rechtskraft erwachsene Verfügung beziehen, die entweder unangefochten geblieben oder deren Beschwerdeverfahren mit einem bloss formellen Prozessurteil abgeschlossen worden ist (vgl. EMARK 2003 Nr. 17 E. 2.a S. 103 f. mit weiteren Hinweisen; so auch das in der Rechtsmitteleingabe zitierte Urteil des Bundesverwaltungsgerichts D-4520/2008 vom 3. November 2008 E.3 S. 5 unten). Nur ein solcher-massen als qualifiziertes Wiedererwägungsgesuch zu bezeichnendes Rechtsmittel wäre grundsätzlich nach den Regeln des Revisionsverfahrens (im Sinne von Art 66 ff. VwVG) durch das BFM zu behandeln. Vorliegend wurden jedoch das am 7. Mai 2003 gestellte Asylgesuch des Beschwerdeführers mit Verfügung des BFF vom 18. Mai 2004 abgelehnt und die am 21. Juni 2004 dagegen erhobene Beschwerde mit einem materiellen Urteil des Bundesverwaltungsgerichts vom 1. Oktober 2007 abgewiesen, wodurch die Verfügung des BFF vom 18. Mai 2004 in Rechtskraft erwuchs. Das Wiedererwägungsgesuch findet daher keinen zulässigen Gegenstand. Die Vorinstanz hat demnach das erneute Gesuch des Beschwerdeführers um Feststellung der Flüchtlingseigenschaft - nach erfolglosem Durchlaufen eines Asylverfahrens - zu Recht als neues Asylgesuch behandelt. Der Eventualantrag, die Sache sei als Revisionsgesuch an die Hand zu nehmen, ist somit abzuweisen.</w:t>
      </w:r>
    </w:p>
    <w:p>
      <w:r>
        <w:rPr>
          <w:b/>
        </w:rPr>
        <w:t>E. 3.4.3</w:t>
      </w:r>
    </w:p>
    <w:p>
      <w:r>
        <w:t>Weiter ergeben sich aus den Vorbringen des Beschwerdeführers (Schikanen seitens Mitschüler, Gleichaltriger und des Grossvaters väterlicherseits) keine Hinweise auf neue, für die Flüchtlingseigenschaft oder die Gewährung vorübergehenden Schutzes relevante Ereignisse. In casu ist diesbezüglich festzustellen, dass es sich gemäss seinen Angaben vielmehr ausschliesslich um von privaten Drittpersonen begangene Taten beziehungsweise Schikanen handelte. Er macht zudem nicht geltend, nach dem Wechsel des Schulortes weiteren Übergriffen ausgesetzt gewesen zu sein.</w:t>
      </w:r>
    </w:p>
    <w:p>
      <w:r>
        <w:rPr>
          <w:b/>
        </w:rPr>
        <w:t>E. 3.5</w:t>
      </w:r>
    </w:p>
    <w:p>
      <w:r>
        <w:t>Aus dem Gesagten ergibt sich zusammenfassend, dass das BFM im Ergebnis zu Recht in Anwendung von Art. 32 Abs. 2 Bst. e AsylG auf das dritte Asylgesuch des Beschwerdeführers nicht eingetreten ist. Es erübrigt sich bei dieser Sachlage, auf die weiteren Vorbringen des Beschwerdeführers in der Beschwerdeschrift, die im Wesentlichen seine Familienangehörigen, insbesondere seine Mutter betreffen, einzugehen, da sie am Ergebnis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Aus dem Umstand, dass die ausländerrechtliche Behörde das Gesuch des Beschwerdeführers um Erteilung einer Bewilligung im Sinne von Art. 14 Abs. 2 AsylG rechtskräftig abwies (vgl. oben Bst. H), ist nicht zu schliessen, dass damit die Zuständigkeit zum Entscheid über die Wegweisung und deren Vollzug auf die kantonale Behörde übergegangen ist, da dies einer vorfrageweisen Prüfung durch die Asylbehörde bedarf, ob sich die betroffene Person grundsätzlich auf einen Anspruch auf Erteilung einer solchen Bewilligung berufen kann (vgl. EMARK 2001 Nr. 21). Ein solcher, vorfrageweise zu bejahender Anspruch des Beschwerdeführers liegt nicht vor, weshalb die Zuständigkeit zum Entscheid über die Wegweisung und deren Vollzug nach wie vor bei den Asylbehörden bleibt.</w:t>
      </w:r>
    </w:p>
    <w:p>
      <w:r>
        <w:rPr>
          <w:b/>
        </w:rPr>
        <w:t>E. 4.3</w:t>
      </w:r>
    </w:p>
    <w:p>
      <w:r>
        <w:t>Der Beschwerdeführer verfügt weder über eine ausländerrechtliche Aufenthaltsbewilligung noch über einen Anspruch auf Erteilung einer solchen. Die Wegweisung wurde demnach zu Recht angeordnet (Art. 44 Abs. 1 AsylG; BVGE 2009/50 E. 9 S. 733;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besitzen. Da es dem Beschwerdeführer nicht gelungen ist, Hinweise vorzubringen, dass seit dem rechtskräftig abgeschlossenen zweiten Asylverfahren Ereignisse eingetreten sind, die geeignet sind, die Flüchtlingseigenschaft zu begründen,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2008/34 E. 11.1, mit weiteren Hinweisen).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w:t>
      </w:r>
    </w:p>
    <w:p>
      <w:r>
        <w:rPr>
          <w:b/>
        </w:rPr>
        <w:t>E. 5.3.2</w:t>
      </w:r>
    </w:p>
    <w:p>
      <w:r>
        <w:t>Auf den volljährigen Beschwerdeführer ist die KRK nicht anwendbar. Zudem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des Beschwerdeführers im Rahmen des Beschwerdeverfahrens wegen einer schwerwiegenden persönlichen Notlage nicht (mehr) in Betracht fällt. Nach geltendem Recht ist es nunmehr dem Kanton vorbehalten, mit Zustimmung des Bundesamtes einer ihm nach Gesetz zugewiesenen Person auf deren Gesuch hin eine Aufenthaltsbewilligung zu erteilen, wenn wegen der fortgeschrittenen Integration ein schwerwiegender persönlicher Härtefall vorliegt (Art. 14 Abs. 2 Bst. c AsylG). Der Beschwerdeführer hatte denn auch mit Eingabe vom 16. November 2010 bei der zuständigen kantonalen Behörde ein Gesuch um Erteilung einer Aufenthaltsbewilligung gemäss Art. 14 Abs. 2 AsylG i.V.m. Art. 30 Abs. 1 Bst. b AuG eingereicht, das jedoch mit deren Entscheid vom 18. Januar 2011 rechtskräftig abgelehnt wurde.</w:t>
      </w:r>
    </w:p>
    <w:p>
      <w:r>
        <w:rPr>
          <w:b/>
        </w:rPr>
        <w:t>E. 5.3.3</w:t>
      </w:r>
    </w:p>
    <w:p>
      <w:r>
        <w:t>Im Weiteren lässt sich aus der allgemeinen Lage in Kosovo kein Wegweisungshindernis ableiten, da dort heute nicht von einer durch Krieg, Bürgerkrieg oder durch eine Situation allgemeiner Gewalt gekennzeichnete Lage gesprochen werden kann. In individueller Hinsicht ist festzustellen, dass der Beschwerdeführer aus dem Dorf B._______ in der Gemeinde C._______ stammt und dort (...) Primarschuljahre absolvierte und in E._______ während (...) die (Nennung Ausbildung) besuchte (vgl. act. C1/8, S. 2; C12/8, S. 3). Der Beschwerdeführer verfügt in seiner Heimat - abgesehen von seinem Grossvater väterlicherseits, der mit ihm zerstritten sein soll - über weitere nahe Verwandte, die ihm bei der Reintegration behilflich sein können (vgl. act. C1/8, S. 3) und ihn sowie seine Kernfamilie teilweise schon früher mit finanziellen Mitteln unterstützten. Zudem stellen die blossen sozialen und wirtschaftlichen Schwierigkeiten, wie namentlich Mangel an Wohnungen und Arbeitsplätzen, von welchen die ansässige Bevölkerung betroffen ist, keine existenzbedrohende Situation dar, welche den Vollzug der Wegweisung eines Ausländers in den Heimatstaat als unzumutbar erscheinen liesse (vgl. BVGE 2010/41 E. 8.3.6 S. 591). Es ist zwar nicht auszuschliessen, dass die wirtschaftliche Reintegration des Beschwerdeführers in seinem Heimatland mit einigen Schwierigkeiten verbunden sein wird. In diesem Zusammenhang bemisst sich die Zumutbarkeit nach den durchschnittlichen örtlichen Verhältnissen und nicht nach schweizerischen Standards. Angesichts der in Kosovo besuchten Berufsschulbildung, der in der Schweiz erworbenen Fähigkeiten im (Nennung Berufszweig) und der verwandtschaftlichen Unterstützung ist es ihm zumutbar, für sich eine Existenz in seinem Heimatland aufzubauen.</w:t>
      </w:r>
    </w:p>
    <w:p>
      <w:r>
        <w:rPr>
          <w:b/>
        </w:rPr>
        <w:t>E. 5.3.4</w:t>
      </w:r>
    </w:p>
    <w:p>
      <w:r>
        <w:t>In Berücksichtigung sämtlicher Umstände ist daher der Wegweisungsvollzug auch als zumutbar zu erachten.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Eine Partei, die nicht über die erforderlichen Mittel verfügt, wird auf Antrag hin von der Bezahlung der Verfahrenskosten befreit, sofern ihr Begehren nicht aussichtslos erscheint (Art. 65 Abs. 1 VwVG). Es ist von der Bedürftigkeit des Beschwerdeführers auszugehen. Auch können die Begehren der Beschwerde nicht als aussichtslos bezeichnet werden. Das Gesuch um Gewährung der unentgeltlichen Prozessführung im Sinne von Art. 65 Abs. 1 VwVG ist somit gutzuheissen, weshalb keine Verfahrenskosten aufzuerlegen sind. Das Gesuch um Erlass des Kostenvorschusses wird mit dem Entscheid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