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D-5417/2019 vom 13. November 2019</w:t>
      </w:r>
    </w:p>
    <w:p>
      <w:r>
        <w:t>Bundesverwaltungsgericht, 2019-11-13, DE</w:t>
      </w:r>
    </w:p>
    <w:p>
      <w:r>
        <w:rPr>
          <w:b/>
        </w:rPr>
        <w:t xml:space="preserve">Quelle: </w:t>
      </w:r>
      <w:r>
        <w:t>https://mcp.opencaselaw.ch/entscheid/bvger_D-5417_2019</w:t>
      </w:r>
    </w:p>
    <w:p>
      <w:r>
        <w:t>FR: TAF D-5417/2019 du 13 novembre 2019</w:t>
      </w:r>
    </w:p>
    <w:p>
      <w:r>
        <w:t>IT: TAF D-5417/2019 del 13 novembre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Mit der vorliegend angefochtenen Verfügung behandelte das Staatssekretariat die Eingabe vom 6. Juli 2019 explizit als Mehrfachgesuch im Sinne von Art. 111c Abs. 1 AsylG. Diese Qualifikation ist zutreffend und wird vom Beschwerdeführer auch nicht bemängelt. Gegenstand des vorliegenden Beschwerdeverfahrens ist somit in materieller Hinsicht lediglich die Frage, ob sich seit dem Urteil des BVGer D-3616/2015 vom 21. Oktober 2015 Veränderungen ergeben haben, welche zur Flüchtlingseigenschaft des Beschwerdeführers führen oder einem Wegweisungsvollzug entgegenstehen.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5.2</w:t>
      </w:r>
    </w:p>
    <w:p>
      <w:r>
        <w:t>Flüchtlingen wird nach Art. 54 AsylG kein Asyl gewährt, wenn sie erst durch ihre Ausreise aus dem Heimat- oder Herkunftsstaat oder wegen ihres Verhaltens nach der Ausreise Flüchtlinge im Sinne von Art. 3 AsylG wurden (subjektive Nachfluchtgründe), unabhängig davon, ob die Nachfluchtgründe missbräuchlich oder nicht missbräuchlich gesetzt wurden. Stattdessen werden Personen, welche subjektive Nachfluchtgründe nachweisen oder glaubhaft machen können, als Flüchtlinge vorläufig aufgenommen (vgl. BVGE 2009/28 E. 7.1). Ist eine Gefährdung demgegenüber aufgrund von äusseren, nach der Ausreise eingetretenen Umständen, auf die der Betreffende keinen Einfluss nehmen konnte, entstanden, liegen objektive Nachfluchtgründe vor (vgl. BVGE 2010/44 E. 3.5 m.w.H.).</w:t>
      </w:r>
    </w:p>
    <w:p>
      <w:r>
        <w:rPr>
          <w:b/>
        </w:rPr>
        <w:t>E. 5.3</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erachtete die Vorbringen des Beschwerdeführers in Bezug auf die geltend gemachte Verfolgung als Angehöriger der ethnischen Minderheit der Amhara vor dem Hintergrund der ethnisch motivierten Gewalt im Heimatland als den Anforderungen an die Flüchtlingseigenschaft gemäss Art. 3 AsylG zu Recht als nicht genügend. Der Auffassung des Beschwerdeführers, in Äthiopien herrsche angesichts ethnisch motivierter Unruhen eine Situation allgemeiner Gewalt, in der ihm als Angehöriger der ethnischen Minderheit der Amhara Verfolgung drohe, kann nicht gefolgt werden.</w:t>
      </w:r>
    </w:p>
    <w:p>
      <w:r>
        <w:rPr>
          <w:b/>
        </w:rPr>
        <w:t>E. 6.1.1</w:t>
      </w:r>
    </w:p>
    <w:p>
      <w:r>
        <w:t>Das Bundesverwaltungsgericht hat im als Referenzurteil publizierten Entscheid D-6630/2018 vom 6. Mai 2019 eine Analyse der politischen Lage in Äthiopien vorgenommen. Demzufolge hat sich die Lage in Äthiopien seit der Ernennung von Abiy Ahmed zum Premierminister im April 2018 grundlegend zum Positiven verändert. Dessen Ziel ist die Stärkung der Demokratie unter Einbindung aller politischen Kräfte. Abiy Ahmed unternimmt Anstrengungen, in vielen Bereichen Reformen anzustossen oder durchzuführen. Dies betrifft auch den Umgang mit regierungskritischen Personen, gegen die das Regime bisher mit grosser Härte vorging (vgl. a.a.O. E. 7). Zwar herrschen weiterhin ethnisch motivierte Spannungen mit vereinzelten Anschlägen und Gewaltakten, allerdings sind die Vorfälle meist lokal begrenzt und die allgemeine Situation ist seit dem Amtsantritt des neuen Premierministers stabiler und nicht von allgemeiner Gewalt geprägt (vgl. a.a.O. E. 12.2.).</w:t>
      </w:r>
    </w:p>
    <w:p>
      <w:r>
        <w:rPr>
          <w:b/>
        </w:rPr>
        <w:t>E. 6.1.2</w:t>
      </w:r>
    </w:p>
    <w:p>
      <w:r>
        <w:t>Nach dem Gesagten ist nicht von einer Kollektivverfolgung der Angehörigen der Amhara in Äthiopien auszugehen. Die Anforderungen an die Feststellung einer Kollektivverfolgung sind gemäss Rechtsprechung des Bundesverwaltungsgerichts sehr hoch (vgl. BVGE 2013/12 E.6) und nach dem vorstehend Ausgeführten nicht gegeben. Konkret-individuelle Verfolgungshandlungen gegen den Beschwerdeführer ergeben sich aus den detaillierten Ausführungen in der Beschwerde mit den dort zitierten Medienberichten (siehe S. 4-19 der Beschwerde) nicht. Ebenso verhält es sich mit den eingereichten Ausdrucken von Facebook-Nachrichten zu gewaltsamen Ausschreitungen in der Amhara-Region (Beweismittel 7-9). Ein Bezug der allgemeinen Berichterstattung, auch unter Berücksichtigung der Eingabe vom 7. November 2019 samt Bildmaterial, zum Beschwerdeführer ist nicht auszumachen. Aus der vom Beschwerdeführer vorgebrachten Verhaftungskampagne gegen Mitglieder des NAMA kann der Beschwerdeführer als Amhara ebenfalls keine individuelle Verfolgungshandlung ableiten, insbesondere da sich die Verhaftungen nicht gegen die Ethnie der Parteienmitglieder richteten, sondern im Zusammenhang mit einem mutmasslichen Putschversuch in der Region Amhara stand. Mangels individuellen Bezugs zum Beschwerdeführer erübrigt es sich auch, eine Übersetzung des auf Amharisch eingereichten offenen Briefes von Menschenrechtsorganisationen gegen die Regierung (Beweismittel 6) anzufordern.</w:t>
      </w:r>
    </w:p>
    <w:p>
      <w:r>
        <w:rPr>
          <w:b/>
        </w:rPr>
        <w:t>E. 7.1</w:t>
      </w:r>
    </w:p>
    <w:p>
      <w:r>
        <w:t>Subjektive Nachfluchtgründe im Sinne von Art. 54 AsylG liegen dann vor, wenn durch die Ausreise oder wegen des Verhaltens nach der Ausreise begründeter Anlass zur Furcht vor künftiger Verfolgung besteht. Dies setzt voraus, dass der Heimat- oder Herkunftsstaat mit erheblicher Wahrscheinlichkeit von den Aktivitäten im Ausland nach der Ausreise erfahren hat und die Person deshalb bei einer Rückkehr in flüchtlingsrechtlich relevanter Weise verfolgt würde (vgl. BVGE 2009/29 E. 5.1). Dabei genügt eine bloss entfernte Möglichkeit künftiger Verfolgung nicht (vgl. BVGE 2011/51 E. 6.2). Einschränkend zur bisherigen Gesetzgebung und Rechtsprechung führen subjektive Nachfluchtgründe seit dem Inkrafttreten der Asylgesetzrevision vom 14. Dezember 2012 (in Kraft seit dem 1. Februar 2014) unter Vorbehalt des Abkommens vom 28. Juli 1951 über die Rechtsstellung der Flüchtlinge (FK; SR 0.142.30) nur noch dann zur Anerkennung als Flüchtling, wenn die durch das Verhalten nach der Ausreise entstandenen Gründe die Fortsetzung einer bereits im Heimat- oder Herkunftsstaat bestehenden Überzeugung sind (vgl. Art. 3 Abs. 4 AsylG i.V.m. Abs. 1 der Übergangsbestimmungen zur Änderung vom 14. Dezember 2012).</w:t>
      </w:r>
    </w:p>
    <w:p>
      <w:r>
        <w:rPr>
          <w:b/>
        </w:rPr>
        <w:t>E. 7.2</w:t>
      </w:r>
    </w:p>
    <w:p>
      <w:r>
        <w:t>Das SEM verneinte das Vorliegen subjektiver Nachfluchtgründe zu Recht.</w:t>
      </w:r>
    </w:p>
    <w:p>
      <w:r>
        <w:rPr>
          <w:b/>
        </w:rPr>
        <w:t>E. 7.2.1</w:t>
      </w:r>
    </w:p>
    <w:p>
      <w:r>
        <w:t>Vorab ist festzuhalten, dass der Beschwerdeführer im Rahmen seines ersten Asylverfahrens weder Vor- noch Nachfluchtgründe glaubhaft machen konnte. Damit ist auch nicht davon auszugehen, dass er nach seiner Ankunft in der Schweiz unter besonderer Beobachtung seitens der äthiopischen Behörden gestanden hat. Die im Rahmen des ersten Beschwerdeverfahrens vorgebrachten exilpolitischen Aktivitäten wurden mit Urteil des Bundesverwaltungsgerichtes D-3616/2015 als nicht asylrelevant erachtet. Der Beschwerdeführer würde aufgrund seines geringen Risikoprofils (einfache Mitgliedschaft in der EPPF, Teilnahme an Kundgebungen) nicht das Interesse der äthiopischen Behörden an der Identifizierung seiner Person auf sich ziehen, da seine Aktivitäten keine konkrete Bedrohung für das politische System darstellten.</w:t>
      </w:r>
    </w:p>
    <w:p>
      <w:r>
        <w:rPr>
          <w:b/>
        </w:rPr>
        <w:t>E. 7.2.2</w:t>
      </w:r>
    </w:p>
    <w:p>
      <w:r>
        <w:t>Mit seinem Gesuch vom 6. Juli 2019 reichte der Beschwerdeführer unkommentiert Mitgliedschaftsbescheinigungen in den Vereinigungen AES und AAS ein, wobei er in letzterer Repräsentant der (...) in der Region D._______ sei. Gemäss den beiden Bescheinigungen nimmt er an verschiedenen Kundgebungen gegen die aktuelle Regierung teil und rekrutiert aktiv neue Mitglieder. Das SEM hat nicht in Zweifel gezogen, dass der Beschwerdeführer Mitglied der beiden oben erwähnten Organisationen ist. Die Vereinigung AES mit Sitz in Genf betätigt sich, worauf das SEM zu Recht verweist, vorwiegend kulturell und bezeichnet sich als politisch unabhängig, weshalb die AES nicht als eigentliche Oppositionspartei bezeichnet werden kann. Mit der Vereinigung der AAS mit Sitz in Lausanne verhält es sich ähnlich, auch in ihr kann keine eigentliche exilpolitische Organisation gesehen werden. Die Organisation fördert vielmehr den Austausch der Amhara in der Schweiz ohne Unterscheidung von Religion, Geschlecht, politischen Meinungen und anderen sozialen Kriterien. Abgesehen von der Mitgliedschaft in diesen politisch unabhängigen Vereinigungen können den Akten auch keine Hinweise entnommen werden, dass die äthiopischen Behörden von der Mitgliedschaft in den Vereinigungen überhaupt Kenntnis erlangt hätte, wie die Vorinstanz zutreffend bemerkte. Aus den Bescheinigungen wird, abgesehen von der aufgeführten regionalen Repräsentantentätigkeit kein exponiertes Engagement ersichtlich. In diesem Zusammenhang ist festzuhalten, dass im Blickpunkt der Regierung Personen sein dürften, welche sich aus dem eher anonymen Kreis der blossen Teilnehmer von politischen Veranstaltungen von Exilorganisationen herausheben. Dies trifft beim Beschwerdeführer nicht zu.</w:t>
      </w:r>
    </w:p>
    <w:p>
      <w:r>
        <w:rPr>
          <w:b/>
        </w:rPr>
        <w:t>E. 7.2.3</w:t>
      </w:r>
    </w:p>
    <w:p>
      <w:r>
        <w:t>Auch die neu eingereichten Fotoausdrucke von Demonstrationen enthalten keine Anhaltspunkte dafür, dass er aus der Gruppe Demonstrierender besonders hervortrat, zumal nur auf einem gestellt wirkenden Foto die Teilnahme an einer Demonstration gegen die äthiopische Regierung ersichtlich ist (Beweismittel 5), die anderen Fotos bezeugen Demonstrationen gegen das SEM in Bezug auf dessen Ausschaffungspraxis (Beweismittel 1, 2 und 4). Ein weiteres Foto (Beweismittel 3) zeigt den Beschwerdeführer mit Vertretern der NAMA. Abgesehen davon, dass es sich bei der NAMA nicht um eine verbotene politische Partei handelt, ist aus dem arrangiert wirkenden Foto, auf dem der Beschwerdeführer vor einem Hauseingang gemäss seinen Angaben neben zwei Vertretern der Partei zu sehen ist, kein exilpolitisches Engagement ersichtlich.</w:t>
      </w:r>
    </w:p>
    <w:p>
      <w:r>
        <w:rPr>
          <w:b/>
        </w:rPr>
        <w:t>E. 7.2.4</w:t>
      </w:r>
    </w:p>
    <w:p>
      <w:r>
        <w:t>Die exilpolitische Tätigkeit des Beschwerdeführers ist insgesamt als marginal zu bezeichnen. Es ist weder eine exponierte Stellung innerhalb der von ihm genannten Organisationen noch ein erhebliches persönliches Engagement ersichtlich. Die insgesamt positiven aktuellen Entwicklungen in Äthiopien sprechen sogar dafür, dass selbst bei einem (hier nicht vorliegenden) herausgehobenen exilpolitischen Engagement nicht mehr mit beachtlicher Wahrscheinlichkeit eine Verfolgungsgefahr drohen würde, sondern lediglich allenfalls in besonders gelagerten Ausnahmefällen dies noch wahrscheinlich erscheint (vgl. auch Referenzurteil des BVGer D-6630/2018 vom 6. Mai 2019 E. 8). Insofern erweist sich auch die Befürchtung des Beschwerdeführers, durch die Papierbeschaffung in den Fokus der äthiopischen Behörden zu gelangen, als haltlos. Inwiefern die Härtefallthematik eine Verfolgung darstellen könnte, erschliesst sich dem Bundesverwaltungsgericht nicht. Für die Frage der Integration ist auf die nachfolgenden Erwägungen zu verweisen.</w:t>
      </w:r>
    </w:p>
    <w:p>
      <w:r>
        <w:rPr>
          <w:b/>
        </w:rPr>
        <w:t>E. 7.6</w:t>
      </w:r>
    </w:p>
    <w:p>
      <w:r>
        <w:t>Zusammenfassend ergibt sich, dass die Vorinstanz zu Recht die Flüchtlingseigenschaft des Beschwerdeführers verneint und das Mehrfachgesuch abgelehnt hat.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den Wegweisungsvollzug zu Recht als weiterhin zulässig erachtet. Die Vorinstanz wies in ihrer angefochtenen Verfügung namentlich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Auch die allgemeine Menschenrechtssituation im Heimatstaat lässt den Wegweisungsvollzug zum heutigen Zeitpunkt - unter Mitberücksichtigung der vom Beschwerdeführer vorgebrachten Argumente - entgegen dessen Auffassung nicht als unzulässig erscheinen (vgl. Referenzurteil des BVGer D-6630/2018). 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des BVGer D-6630/2018 E. 12.2, in Bestätigung von BVGE 2011/25 E. 8.3). Mithin vermag der Beschwerdeführer aus seinen eingereichten Medienberichten zu Diskriminierungen der Amhara nichts zu seinen Gunsten abzuleiten.</w:t>
      </w:r>
    </w:p>
    <w:p>
      <w:r>
        <w:rPr>
          <w:b/>
        </w:rPr>
        <w:t>E. 8.3.2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des BVGer D-6630/2018 E. 12.4, in Bestätigung von BVGE 2011/25 E. 8.4). Die individuellen Umstände lassen nicht auf eine konkrete Gefährdung des Beschwerdeführers im Falle seiner Rückkehr schliessen, dazu kann zum einen auf die zutreffenden Erwägungen des SEM in der Verfügung vom 13. September 2019, zum anderen auf diejenigen im Urteil des BVGer D-3616/2015 vom 21. Oktober 2015 beziehungsweise in der Verfügung des ersten Asylverfahrens vom 5. Mai 2015 verwiesen werden.</w:t>
      </w:r>
    </w:p>
    <w:p>
      <w:r>
        <w:rPr>
          <w:b/>
        </w:rPr>
        <w:t>E. 8.3.3</w:t>
      </w:r>
    </w:p>
    <w:p>
      <w:r>
        <w:t>Soweit der Beschwerdeführer auf seine gute Integration in der Schweiz hinweist, ist festzuhalten, dass die Voraussetzungen der Unzumutbarkeit des Wegweisungsvollzuges nicht nach den persönlichen Verhältnissen des Ausländers in der Schweiz zu beurteilen sind, sondern ausschlaggebend ist dabei vielmehr, welche Situation sich für ihn im Falle des Vollzugs im Heimatland in Bezug auf den primären Aspekt der Lebenssicherheit ergeben würde. Eine aussergewöhnlich starke Assimilierung des Beschwerdeführers in der Schweiz, die mit einer eigentlichen, auch in die Zumutbarkeitsfrage hineinwirkenden Entwurzelung im Heimatstaat einhergehen würde (vgl. EMARK 2005 Nr. 6 E. 6.2. S. 58), ist nicht gegeben Nach geltendem Recht ist es dem jeweiligen Kanton vorbehalten, mit Zustimmung des SEM einer ihm nach Gesetz zugewiesenen Person eine Aufenthaltsbewilligung zu erteilen, wenn wegen der fortgeschrittenen Integration ein schwerwiegender persönlicher Härtefall vorliegt (Art. 14 Abs. 2 Bst. c AsylG).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inklusive des nicht näher begründeten Rückweisungsantrages abzuweisen.</w:t>
      </w:r>
    </w:p>
    <w:p>
      <w:r>
        <w:rPr>
          <w:b/>
        </w:rPr>
        <w:t>E. 10</w:t>
      </w:r>
    </w:p>
    <w:p>
      <w:r>
        <w:t>Der Antrag auf Verzicht auf Erhebung eines Kostenvorschusses wird mit dem vorliegenden Urteil in der Sache gegenstandslos.</w:t>
      </w:r>
    </w:p>
    <w:p>
      <w:r>
        <w:rPr>
          <w:b/>
        </w:rPr>
        <w:t>E. 11</w:t>
      </w:r>
    </w:p>
    <w:p>
      <w:r>
        <w:t>Der Beschwerdeführer beantragt die Gewährung der unentgeltlichen Rechtspflege (Art. 65 Abs.1 VwVG). Aus den vorstehenden Erwägungen ergibt sich, dass seine Begehren als aussichtslos zu gelten haben, weshalb sein Gesuch abzuweisen ist.</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