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D-5414/2024 vom 21. August 2024</w:t>
      </w:r>
    </w:p>
    <w:p>
      <w:r>
        <w:t>Bundesverwaltungsgericht, 2024-08-21, FR</w:t>
      </w:r>
    </w:p>
    <w:p>
      <w:r>
        <w:rPr>
          <w:b/>
        </w:rPr>
        <w:t xml:space="preserve">Quelle: </w:t>
      </w:r>
      <w:r>
        <w:t>https://mcp.opencaselaw.ch/entscheid/bvger_D-5414_2024_d20240821</w:t>
      </w:r>
    </w:p>
    <w:p>
      <w:r>
        <w:t>FR: TAF D-5414/2024 du 21 août 2024</w:t>
      </w:r>
    </w:p>
    <w:p>
      <w:r>
        <w:t>IT: TAF D-5414/2024 del 21 agosto 2024</w:t>
      </w:r>
    </w:p>
    <w:p>
      <w:pPr>
        <w:pStyle w:val="Heading2"/>
      </w:pPr>
      <w:r>
        <w:t>Regeste</w:t>
      </w:r>
    </w:p>
    <w:p>
      <w:r>
        <w:t>Asile et renvoi (proc&amp;eacute;dure acc&amp;eacute;l&amp;eacute;r&amp;eacute;e) | Asile et renvoi (procédure accélérée); décision du SEM du 21 août 2024</w:t>
      </w:r>
    </w:p>
    <w:p>
      <w:pPr>
        <w:pStyle w:val="Heading2"/>
      </w:pPr>
      <w:r>
        <w:t>Erwägungen</w:t>
      </w:r>
    </w:p>
    <w:p>
      <w:r>
        <w:rPr>
          <w:b/>
        </w:rPr>
        <w:t>E. 3</w:t>
      </w:r>
    </w:p>
    <w:p>
      <w:r>
        <w:t>let. a du règlement du 21 février 2008 concernant les frais, dépens et indemnités fixés par le Tribunal administratif fédéral (FITAF, RS 173.320.2), qu’étant immédiatement statué sur le fond, la demande de dispense de paiement d’une avance de frais est sans objet,</w:t>
      </w:r>
    </w:p>
    <w:p>
      <w:r>
        <w:t>(dispositif page suivante)</w:t>
      </w:r>
    </w:p>
    <w:p>
      <w:r>
        <w:t>D-5414/2024 Page 11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